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25" w:rsidRPr="00D830AD" w:rsidRDefault="00F67125" w:rsidP="00F67125">
      <w:pPr>
        <w:jc w:val="center"/>
        <w:rPr>
          <w:bCs/>
          <w:sz w:val="24"/>
          <w:szCs w:val="24"/>
          <w:u w:val="single"/>
        </w:rPr>
      </w:pPr>
      <w:r w:rsidRPr="00D830AD">
        <w:rPr>
          <w:bCs/>
          <w:sz w:val="24"/>
          <w:szCs w:val="24"/>
          <w:u w:val="single"/>
        </w:rPr>
        <w:t>Бутьковец В.В.</w:t>
      </w:r>
    </w:p>
    <w:p w:rsidR="00F67125" w:rsidRPr="00D830AD" w:rsidRDefault="00F67125" w:rsidP="00F67125">
      <w:pPr>
        <w:spacing w:after="0"/>
        <w:jc w:val="center"/>
        <w:rPr>
          <w:b/>
          <w:sz w:val="24"/>
          <w:szCs w:val="24"/>
        </w:rPr>
      </w:pPr>
      <w:r w:rsidRPr="00D830AD">
        <w:rPr>
          <w:b/>
          <w:sz w:val="24"/>
          <w:szCs w:val="24"/>
        </w:rPr>
        <w:t xml:space="preserve">ЛЕСОВОЗОБНОВИТЕЛЬНЫЙ ПОТЕНЦИАЛ БЕЛОРУССКОЙ ПОПУЛЯЦИИ </w:t>
      </w:r>
      <w:r w:rsidRPr="00D830AD">
        <w:rPr>
          <w:b/>
          <w:i/>
          <w:sz w:val="24"/>
          <w:szCs w:val="24"/>
          <w:lang w:val="en-US"/>
        </w:rPr>
        <w:t>PICEA</w:t>
      </w:r>
      <w:r w:rsidRPr="00D830AD">
        <w:rPr>
          <w:b/>
          <w:i/>
          <w:sz w:val="24"/>
          <w:szCs w:val="24"/>
        </w:rPr>
        <w:t xml:space="preserve"> </w:t>
      </w:r>
      <w:r w:rsidRPr="00D830AD">
        <w:rPr>
          <w:b/>
          <w:i/>
          <w:sz w:val="24"/>
          <w:szCs w:val="24"/>
          <w:lang w:val="en-US"/>
        </w:rPr>
        <w:t>ABIES</w:t>
      </w:r>
      <w:r w:rsidRPr="00D830AD">
        <w:rPr>
          <w:b/>
          <w:sz w:val="24"/>
          <w:szCs w:val="24"/>
        </w:rPr>
        <w:t xml:space="preserve"> НА ПРИМЕРЕ НАСАЖДЕНИЙ РОССОНСКОГО И БЕГОМЛЬСКОГО ЛЕСХОЗОВ ВИТЕБСКОГО ГПЛХО</w:t>
      </w:r>
    </w:p>
    <w:p w:rsidR="00F67125" w:rsidRPr="00D830AD" w:rsidRDefault="00F67125" w:rsidP="00F67125">
      <w:pPr>
        <w:spacing w:after="0" w:line="360" w:lineRule="exact"/>
        <w:ind w:firstLine="567"/>
        <w:contextualSpacing/>
        <w:jc w:val="center"/>
        <w:rPr>
          <w:rFonts w:eastAsia="Calibri"/>
          <w:i/>
          <w:sz w:val="24"/>
          <w:szCs w:val="22"/>
          <w:lang w:eastAsia="en-US"/>
        </w:rPr>
      </w:pPr>
      <w:r w:rsidRPr="00D830AD">
        <w:rPr>
          <w:rFonts w:eastAsia="Calibri"/>
          <w:i/>
          <w:sz w:val="24"/>
          <w:szCs w:val="22"/>
          <w:lang w:eastAsia="en-US"/>
        </w:rPr>
        <w:t>ГНУ «Институт леса НАН Беларуси», 246001, г. Гомель, ул. Пролетарская 71, Беларусь</w:t>
      </w:r>
    </w:p>
    <w:p w:rsidR="00F67125" w:rsidRPr="00CA1B0B" w:rsidRDefault="00F67125" w:rsidP="00F67125">
      <w:pPr>
        <w:spacing w:after="0" w:line="360" w:lineRule="exact"/>
        <w:ind w:firstLine="567"/>
        <w:contextualSpacing/>
        <w:jc w:val="center"/>
        <w:rPr>
          <w:rFonts w:eastAsia="Calibri"/>
          <w:i/>
          <w:sz w:val="24"/>
          <w:szCs w:val="22"/>
          <w:lang w:eastAsia="en-US"/>
        </w:rPr>
      </w:pPr>
      <w:r w:rsidRPr="00D830AD">
        <w:rPr>
          <w:rFonts w:eastAsia="Calibri"/>
          <w:i/>
          <w:sz w:val="24"/>
          <w:szCs w:val="22"/>
          <w:lang w:val="en-US" w:eastAsia="en-US"/>
        </w:rPr>
        <w:t>e</w:t>
      </w:r>
      <w:r w:rsidRPr="00CA1B0B">
        <w:rPr>
          <w:rFonts w:eastAsia="Calibri"/>
          <w:i/>
          <w:sz w:val="24"/>
          <w:szCs w:val="22"/>
          <w:lang w:eastAsia="en-US"/>
        </w:rPr>
        <w:t>-</w:t>
      </w:r>
      <w:r w:rsidRPr="00D830AD">
        <w:rPr>
          <w:rFonts w:eastAsia="Calibri"/>
          <w:i/>
          <w:sz w:val="24"/>
          <w:szCs w:val="22"/>
          <w:lang w:val="en-US" w:eastAsia="en-US"/>
        </w:rPr>
        <w:t>mail</w:t>
      </w:r>
      <w:r w:rsidRPr="00CA1B0B">
        <w:rPr>
          <w:rFonts w:eastAsia="Calibri"/>
          <w:i/>
          <w:sz w:val="24"/>
          <w:szCs w:val="22"/>
          <w:lang w:eastAsia="en-US"/>
        </w:rPr>
        <w:t xml:space="preserve">: </w:t>
      </w:r>
      <w:hyperlink r:id="rId7" w:history="1">
        <w:r w:rsidRPr="00D830AD">
          <w:rPr>
            <w:rFonts w:eastAsia="Calibri"/>
            <w:i/>
            <w:sz w:val="24"/>
            <w:szCs w:val="22"/>
            <w:u w:val="single"/>
            <w:lang w:val="en-US" w:eastAsia="en-US"/>
          </w:rPr>
          <w:t>butskavets</w:t>
        </w:r>
        <w:r w:rsidRPr="00CA1B0B">
          <w:rPr>
            <w:rFonts w:eastAsia="Calibri"/>
            <w:i/>
            <w:sz w:val="24"/>
            <w:szCs w:val="22"/>
            <w:u w:val="single"/>
            <w:lang w:eastAsia="en-US"/>
          </w:rPr>
          <w:t>.</w:t>
        </w:r>
        <w:r w:rsidRPr="00D830AD">
          <w:rPr>
            <w:rFonts w:eastAsia="Calibri"/>
            <w:i/>
            <w:sz w:val="24"/>
            <w:szCs w:val="22"/>
            <w:u w:val="single"/>
            <w:lang w:val="en-US" w:eastAsia="en-US"/>
          </w:rPr>
          <w:t>u</w:t>
        </w:r>
        <w:r w:rsidRPr="00CA1B0B">
          <w:rPr>
            <w:rFonts w:eastAsia="Calibri"/>
            <w:i/>
            <w:sz w:val="24"/>
            <w:szCs w:val="22"/>
            <w:u w:val="single"/>
            <w:lang w:eastAsia="en-US"/>
          </w:rPr>
          <w:t>@</w:t>
        </w:r>
        <w:r w:rsidRPr="00D830AD">
          <w:rPr>
            <w:rFonts w:eastAsia="Calibri"/>
            <w:i/>
            <w:sz w:val="24"/>
            <w:szCs w:val="22"/>
            <w:u w:val="single"/>
            <w:lang w:val="en-US" w:eastAsia="en-US"/>
          </w:rPr>
          <w:t>mail</w:t>
        </w:r>
        <w:r w:rsidRPr="00CA1B0B">
          <w:rPr>
            <w:rFonts w:eastAsia="Calibri"/>
            <w:i/>
            <w:sz w:val="24"/>
            <w:szCs w:val="22"/>
            <w:u w:val="single"/>
            <w:lang w:eastAsia="en-US"/>
          </w:rPr>
          <w:t>.</w:t>
        </w:r>
        <w:r w:rsidRPr="00D830AD">
          <w:rPr>
            <w:rFonts w:eastAsia="Calibri"/>
            <w:i/>
            <w:sz w:val="24"/>
            <w:szCs w:val="22"/>
            <w:u w:val="single"/>
            <w:lang w:val="en-US" w:eastAsia="en-US"/>
          </w:rPr>
          <w:t>ru</w:t>
        </w:r>
      </w:hyperlink>
    </w:p>
    <w:p w:rsidR="00F67125" w:rsidRPr="00CA1B0B" w:rsidRDefault="00F67125" w:rsidP="00F67125">
      <w:pPr>
        <w:spacing w:after="0" w:line="360" w:lineRule="exact"/>
        <w:ind w:firstLine="567"/>
        <w:contextualSpacing/>
        <w:rPr>
          <w:rFonts w:eastAsia="Calibri"/>
          <w:sz w:val="24"/>
          <w:szCs w:val="22"/>
          <w:lang w:eastAsia="en-US"/>
        </w:rPr>
      </w:pPr>
    </w:p>
    <w:p w:rsidR="00F67125" w:rsidRPr="00D830AD" w:rsidRDefault="00F67125" w:rsidP="00F67125">
      <w:pPr>
        <w:spacing w:after="0"/>
        <w:ind w:firstLine="567"/>
        <w:rPr>
          <w:rFonts w:eastAsia="Calibri"/>
          <w:sz w:val="24"/>
          <w:szCs w:val="22"/>
          <w:lang w:eastAsia="en-US"/>
        </w:rPr>
      </w:pPr>
      <w:r w:rsidRPr="00D830AD">
        <w:rPr>
          <w:rFonts w:eastAsia="Calibri"/>
          <w:b/>
          <w:sz w:val="24"/>
          <w:szCs w:val="22"/>
          <w:lang w:eastAsia="en-US"/>
        </w:rPr>
        <w:t>Введение.</w:t>
      </w:r>
      <w:r w:rsidRPr="00D830AD">
        <w:rPr>
          <w:rFonts w:eastAsia="Calibri"/>
          <w:sz w:val="24"/>
          <w:szCs w:val="22"/>
          <w:lang w:eastAsia="en-US"/>
        </w:rPr>
        <w:t xml:space="preserve"> Формация еловых лесов в Беларуси является зональной и в направлении с севера на юг претерпевает не только количественные, но и определенные качественные изменения. В связи с изменяющимися погодно-климатическими условиями и увеличением антропогенной нагрузки ельники испытывают сильное негативное воздействие, приводящее к сокращению еловых древостоев. Учеными-лесоводами отмечается, что еловые насаждения, образовавшиеся естественным путем, имеют ряд преимуществ над искусственно создаваемыми лесными культурами. Успешность формирования елью материнских древостоев обеспечивается уровнем её лесовозобновительного потенциала [1].</w:t>
      </w:r>
    </w:p>
    <w:p w:rsidR="00F67125" w:rsidRPr="00D830AD" w:rsidRDefault="00F67125" w:rsidP="00F67125">
      <w:pPr>
        <w:spacing w:after="0"/>
        <w:ind w:firstLine="567"/>
        <w:rPr>
          <w:rFonts w:eastAsia="Calibri"/>
          <w:sz w:val="24"/>
          <w:szCs w:val="22"/>
          <w:lang w:eastAsia="en-US"/>
        </w:rPr>
      </w:pPr>
      <w:r w:rsidRPr="00D830AD">
        <w:rPr>
          <w:rFonts w:eastAsia="Calibri"/>
          <w:b/>
          <w:sz w:val="24"/>
          <w:szCs w:val="22"/>
          <w:lang w:eastAsia="en-US"/>
        </w:rPr>
        <w:t>Материалы и методы.</w:t>
      </w:r>
      <w:r w:rsidRPr="00D830AD">
        <w:rPr>
          <w:rFonts w:eastAsia="Calibri"/>
          <w:sz w:val="24"/>
          <w:szCs w:val="22"/>
          <w:lang w:eastAsia="en-US"/>
        </w:rPr>
        <w:t xml:space="preserve"> В данном исследовании были проанализированы приспевающие, спелые и перестойные насаждения Россонского и Бегомльского лесхозов Витебского ГПЛХО. Анализируемые насаждения произрастают в 12 284 таксационных выделах на площади 43 884,6 га Россонского и в 6 104 выделах на площади 20 806,6</w:t>
      </w:r>
      <w:r>
        <w:rPr>
          <w:rFonts w:eastAsia="Calibri"/>
          <w:sz w:val="24"/>
          <w:szCs w:val="22"/>
          <w:lang w:eastAsia="en-US"/>
        </w:rPr>
        <w:t> </w:t>
      </w:r>
      <w:r w:rsidRPr="00D830AD">
        <w:rPr>
          <w:rFonts w:eastAsia="Calibri"/>
          <w:sz w:val="24"/>
          <w:szCs w:val="22"/>
          <w:lang w:eastAsia="en-US"/>
        </w:rPr>
        <w:t>га Бегомльского лесхозов. Таким образом, были охвачены насаждения 12 лесничеств Россонского и 8 лесничество Бегомльского лесхозов.</w:t>
      </w:r>
    </w:p>
    <w:p w:rsidR="00F67125" w:rsidRPr="00D830AD" w:rsidRDefault="00F67125" w:rsidP="00F67125">
      <w:pPr>
        <w:spacing w:after="0"/>
        <w:ind w:firstLine="567"/>
        <w:rPr>
          <w:rFonts w:eastAsia="Calibri"/>
          <w:sz w:val="24"/>
          <w:szCs w:val="22"/>
          <w:lang w:eastAsia="en-US"/>
        </w:rPr>
      </w:pPr>
      <w:r w:rsidRPr="00D830AD">
        <w:rPr>
          <w:rFonts w:eastAsia="Calibri"/>
          <w:b/>
          <w:sz w:val="24"/>
          <w:szCs w:val="22"/>
          <w:lang w:eastAsia="en-US"/>
        </w:rPr>
        <w:t xml:space="preserve">Результаты и </w:t>
      </w:r>
      <w:bookmarkStart w:id="0" w:name="_GoBack"/>
      <w:bookmarkEnd w:id="0"/>
      <w:r w:rsidR="00AB3796">
        <w:rPr>
          <w:rFonts w:eastAsia="Calibri"/>
          <w:b/>
          <w:sz w:val="24"/>
          <w:szCs w:val="22"/>
          <w:lang w:eastAsia="en-US"/>
        </w:rPr>
        <w:t>обсуждение</w:t>
      </w:r>
      <w:r w:rsidRPr="00D830AD">
        <w:rPr>
          <w:rFonts w:eastAsia="Calibri"/>
          <w:sz w:val="24"/>
          <w:szCs w:val="22"/>
          <w:lang w:eastAsia="en-US"/>
        </w:rPr>
        <w:t>Приспевающие, спелые и перестойные насаждения представлены сосняками (40,9</w:t>
      </w:r>
      <w:r>
        <w:rPr>
          <w:rFonts w:eastAsia="Calibri"/>
          <w:sz w:val="24"/>
          <w:szCs w:val="22"/>
          <w:lang w:eastAsia="en-US"/>
        </w:rPr>
        <w:t> </w:t>
      </w:r>
      <w:r w:rsidRPr="00D830AD">
        <w:rPr>
          <w:rFonts w:eastAsia="Calibri"/>
          <w:sz w:val="24"/>
          <w:szCs w:val="22"/>
          <w:lang w:eastAsia="en-US"/>
        </w:rPr>
        <w:t>% от общей площади), ельниками (14,1</w:t>
      </w:r>
      <w:r>
        <w:rPr>
          <w:rFonts w:eastAsia="Calibri"/>
          <w:sz w:val="24"/>
          <w:szCs w:val="22"/>
          <w:lang w:eastAsia="en-US"/>
        </w:rPr>
        <w:t> </w:t>
      </w:r>
      <w:r w:rsidRPr="00D830AD">
        <w:rPr>
          <w:rFonts w:eastAsia="Calibri"/>
          <w:sz w:val="24"/>
          <w:szCs w:val="22"/>
          <w:lang w:eastAsia="en-US"/>
        </w:rPr>
        <w:t>%) и мелколиственными насаждениями (45,0</w:t>
      </w:r>
      <w:r>
        <w:rPr>
          <w:rFonts w:eastAsia="Calibri"/>
          <w:sz w:val="24"/>
          <w:szCs w:val="22"/>
          <w:lang w:eastAsia="en-US"/>
        </w:rPr>
        <w:t> </w:t>
      </w:r>
      <w:r w:rsidRPr="00D830AD">
        <w:rPr>
          <w:rFonts w:eastAsia="Calibri"/>
          <w:sz w:val="24"/>
          <w:szCs w:val="22"/>
          <w:lang w:eastAsia="en-US"/>
        </w:rPr>
        <w:t>%). Широколиственные насаждения представлены лишь в одном выделе (6,1</w:t>
      </w:r>
      <w:r>
        <w:rPr>
          <w:rFonts w:eastAsia="Calibri"/>
          <w:sz w:val="24"/>
          <w:szCs w:val="22"/>
          <w:lang w:eastAsia="en-US"/>
        </w:rPr>
        <w:t> </w:t>
      </w:r>
      <w:r w:rsidRPr="00D830AD">
        <w:rPr>
          <w:rFonts w:eastAsia="Calibri"/>
          <w:sz w:val="24"/>
          <w:szCs w:val="22"/>
          <w:lang w:eastAsia="en-US"/>
        </w:rPr>
        <w:t>га) Бегомльского лесхоза. Установлено, что под пологом 6 565 насаждений, произрастающих на площади 21 839,9 га (33,8</w:t>
      </w:r>
      <w:r>
        <w:rPr>
          <w:rFonts w:eastAsia="Calibri"/>
          <w:sz w:val="24"/>
          <w:szCs w:val="22"/>
          <w:lang w:eastAsia="en-US"/>
        </w:rPr>
        <w:t> </w:t>
      </w:r>
      <w:r w:rsidRPr="00D830AD">
        <w:rPr>
          <w:rFonts w:eastAsia="Calibri"/>
          <w:sz w:val="24"/>
          <w:szCs w:val="22"/>
          <w:lang w:eastAsia="en-US"/>
        </w:rPr>
        <w:t>%), имеется благонадежный подрост основных лесообразующих пород. При этом еловый подрост, способный сформировать в будущем высокопродуктивные еловые насаждения (произрастающий в благоприятных лесорастительных условиях), нами был отмечен на площади 15 538,6 га (24,0 %). Наиболее успешно естественное возобновление ели под пологом древостоев протекает в черничной (53,2</w:t>
      </w:r>
      <w:r>
        <w:rPr>
          <w:rFonts w:eastAsia="Calibri"/>
          <w:sz w:val="24"/>
          <w:szCs w:val="22"/>
          <w:lang w:eastAsia="en-US"/>
        </w:rPr>
        <w:t> </w:t>
      </w:r>
      <w:r w:rsidRPr="00D830AD">
        <w:rPr>
          <w:rFonts w:eastAsia="Calibri"/>
          <w:sz w:val="24"/>
          <w:szCs w:val="22"/>
          <w:lang w:eastAsia="en-US"/>
        </w:rPr>
        <w:t>% всех древостоев данной группе типов леса), орляковой (51,9 %) и кисличной (42,4</w:t>
      </w:r>
      <w:r>
        <w:rPr>
          <w:rFonts w:eastAsia="Calibri"/>
          <w:sz w:val="24"/>
          <w:szCs w:val="22"/>
          <w:lang w:eastAsia="en-US"/>
        </w:rPr>
        <w:t> </w:t>
      </w:r>
      <w:r w:rsidRPr="00D830AD">
        <w:rPr>
          <w:rFonts w:eastAsia="Calibri"/>
          <w:sz w:val="24"/>
          <w:szCs w:val="22"/>
          <w:lang w:eastAsia="en-US"/>
        </w:rPr>
        <w:t>%) группах типов леса. По густоте наибольший удельный вес имеет группа подроста с количеством от 2,0 до 3,9 тыс.шт./га (73,1</w:t>
      </w:r>
      <w:r>
        <w:rPr>
          <w:rFonts w:eastAsia="Calibri"/>
          <w:sz w:val="24"/>
          <w:szCs w:val="22"/>
          <w:lang w:eastAsia="en-US"/>
        </w:rPr>
        <w:t> </w:t>
      </w:r>
      <w:r w:rsidRPr="00D830AD">
        <w:rPr>
          <w:rFonts w:eastAsia="Calibri"/>
          <w:sz w:val="24"/>
          <w:szCs w:val="22"/>
          <w:lang w:eastAsia="en-US"/>
        </w:rPr>
        <w:t>% общего количества подроста) и с количеством более 4,0</w:t>
      </w:r>
      <w:r>
        <w:rPr>
          <w:rFonts w:eastAsia="Calibri"/>
          <w:sz w:val="24"/>
          <w:szCs w:val="22"/>
          <w:lang w:eastAsia="en-US"/>
        </w:rPr>
        <w:t> </w:t>
      </w:r>
      <w:r w:rsidRPr="00D830AD">
        <w:rPr>
          <w:rFonts w:eastAsia="Calibri"/>
          <w:sz w:val="24"/>
          <w:szCs w:val="22"/>
          <w:lang w:eastAsia="en-US"/>
        </w:rPr>
        <w:t>тыс.шт./га (15,5</w:t>
      </w:r>
      <w:r>
        <w:rPr>
          <w:rFonts w:eastAsia="Calibri"/>
          <w:sz w:val="24"/>
          <w:szCs w:val="22"/>
          <w:lang w:eastAsia="en-US"/>
        </w:rPr>
        <w:t> </w:t>
      </w:r>
      <w:r w:rsidRPr="00D830AD">
        <w:rPr>
          <w:rFonts w:eastAsia="Calibri"/>
          <w:sz w:val="24"/>
          <w:szCs w:val="22"/>
          <w:lang w:eastAsia="en-US"/>
        </w:rPr>
        <w:t>%). Подрост количеством до 2,0</w:t>
      </w:r>
      <w:r>
        <w:rPr>
          <w:rFonts w:eastAsia="Calibri"/>
          <w:sz w:val="24"/>
          <w:szCs w:val="22"/>
          <w:lang w:eastAsia="en-US"/>
        </w:rPr>
        <w:t> </w:t>
      </w:r>
      <w:r w:rsidRPr="00D830AD">
        <w:rPr>
          <w:rFonts w:eastAsia="Calibri"/>
          <w:sz w:val="24"/>
          <w:szCs w:val="22"/>
          <w:lang w:eastAsia="en-US"/>
        </w:rPr>
        <w:t>тыс.шт./га представлен лишь в 11,5</w:t>
      </w:r>
      <w:r>
        <w:rPr>
          <w:rFonts w:eastAsia="Calibri"/>
          <w:sz w:val="24"/>
          <w:szCs w:val="22"/>
          <w:lang w:eastAsia="en-US"/>
        </w:rPr>
        <w:t> </w:t>
      </w:r>
      <w:r w:rsidRPr="00D830AD">
        <w:rPr>
          <w:rFonts w:eastAsia="Calibri"/>
          <w:sz w:val="24"/>
          <w:szCs w:val="22"/>
          <w:lang w:eastAsia="en-US"/>
        </w:rPr>
        <w:t>% случаев.</w:t>
      </w:r>
    </w:p>
    <w:p w:rsidR="00F67125" w:rsidRDefault="00AB3796" w:rsidP="00F67125">
      <w:pPr>
        <w:spacing w:after="0"/>
        <w:ind w:firstLine="567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В</w:t>
      </w:r>
      <w:r w:rsidRPr="00D830AD">
        <w:rPr>
          <w:rFonts w:eastAsia="Calibri"/>
          <w:b/>
          <w:sz w:val="24"/>
          <w:szCs w:val="22"/>
          <w:lang w:eastAsia="en-US"/>
        </w:rPr>
        <w:t>ыводы.</w:t>
      </w:r>
      <w:r w:rsidR="009A45B4" w:rsidRPr="009A45B4">
        <w:rPr>
          <w:rFonts w:eastAsia="Calibri"/>
          <w:b/>
          <w:sz w:val="24"/>
          <w:szCs w:val="22"/>
          <w:lang w:eastAsia="en-US"/>
        </w:rPr>
        <w:t xml:space="preserve"> </w:t>
      </w:r>
      <w:r w:rsidR="00F67125" w:rsidRPr="00D830AD">
        <w:rPr>
          <w:rFonts w:eastAsia="Calibri"/>
          <w:sz w:val="24"/>
          <w:szCs w:val="22"/>
          <w:lang w:eastAsia="en-US"/>
        </w:rPr>
        <w:t>Вышеуказанное свидетельствует о высоком лесовозобновительном потенциале популяции ели европейской даже в условиях негативных изменений экологических условий. Рациональное проведение лесохозяйственных мероприятий на территории указанных учреждений, посредством проведения несплошных рубок леса и обеспечения сохранения подроста, позволит сохранить площадь еловых насаждений.</w:t>
      </w:r>
    </w:p>
    <w:p w:rsidR="00F67125" w:rsidRPr="00F67125" w:rsidRDefault="00F67125" w:rsidP="00F67125">
      <w:pPr>
        <w:spacing w:after="0"/>
        <w:ind w:firstLine="567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lastRenderedPageBreak/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</w:p>
    <w:p w:rsidR="00F67125" w:rsidRPr="00F67125" w:rsidRDefault="00F67125" w:rsidP="00F67125">
      <w:pPr>
        <w:spacing w:after="0"/>
        <w:ind w:firstLine="567"/>
        <w:rPr>
          <w:rFonts w:eastAsia="Calibri"/>
        </w:rPr>
      </w:pP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>.</w:t>
      </w:r>
    </w:p>
    <w:p w:rsidR="00F67125" w:rsidRPr="00F67125" w:rsidRDefault="00F67125" w:rsidP="00F67125">
      <w:pPr>
        <w:spacing w:after="0"/>
        <w:ind w:firstLine="567"/>
        <w:rPr>
          <w:rFonts w:eastAsia="Calibri"/>
        </w:rPr>
      </w:pP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>.</w:t>
      </w:r>
    </w:p>
    <w:p w:rsidR="00F67125" w:rsidRPr="00FC5600" w:rsidRDefault="00F67125" w:rsidP="00F67125">
      <w:pPr>
        <w:spacing w:after="0" w:line="360" w:lineRule="exact"/>
        <w:ind w:firstLine="567"/>
        <w:contextualSpacing/>
        <w:rPr>
          <w:rFonts w:eastAsia="Calibri"/>
          <w:b/>
          <w:sz w:val="24"/>
          <w:szCs w:val="22"/>
          <w:lang w:eastAsia="en-US"/>
        </w:rPr>
      </w:pPr>
      <w:r w:rsidRPr="00D830AD">
        <w:rPr>
          <w:rFonts w:eastAsia="Calibri"/>
          <w:b/>
          <w:sz w:val="24"/>
          <w:szCs w:val="22"/>
          <w:lang w:eastAsia="en-US"/>
        </w:rPr>
        <w:t>Литература</w:t>
      </w:r>
    </w:p>
    <w:p w:rsidR="00F67125" w:rsidRPr="00D830AD" w:rsidRDefault="00F67125" w:rsidP="00F67125">
      <w:pPr>
        <w:spacing w:after="0"/>
        <w:ind w:firstLine="567"/>
        <w:rPr>
          <w:rFonts w:eastAsia="Calibri"/>
          <w:sz w:val="24"/>
          <w:szCs w:val="22"/>
          <w:lang w:eastAsia="en-US"/>
        </w:rPr>
      </w:pPr>
      <w:r w:rsidRPr="00D830AD">
        <w:rPr>
          <w:rFonts w:eastAsia="Calibri"/>
          <w:sz w:val="24"/>
          <w:szCs w:val="22"/>
          <w:lang w:eastAsia="en-US"/>
        </w:rPr>
        <w:t>1. Рожков, Л. Н. Лесовозобновительный потенциал белорусской популяции Picea abies в современных условиях / Л. Н. Рожков, В. В. Бутьковец // Труды БГТУ. Сер. 1, Лесное хозяйство, природопользование и переработка возобновляемых ресурсов. – Минск : БГТУ, 2017. – № 1 (192). – C. 18</w:t>
      </w:r>
      <w:r>
        <w:rPr>
          <w:rFonts w:eastAsia="Calibri"/>
          <w:sz w:val="24"/>
          <w:szCs w:val="22"/>
          <w:lang w:eastAsia="en-US"/>
        </w:rPr>
        <w:t>–</w:t>
      </w:r>
      <w:r w:rsidRPr="00D830AD">
        <w:rPr>
          <w:rFonts w:eastAsia="Calibri"/>
          <w:sz w:val="24"/>
          <w:szCs w:val="22"/>
          <w:lang w:eastAsia="en-US"/>
        </w:rPr>
        <w:t>22.</w:t>
      </w:r>
    </w:p>
    <w:p w:rsidR="00F67125" w:rsidRPr="005B7484" w:rsidRDefault="00F67125" w:rsidP="00F67125">
      <w:pPr>
        <w:spacing w:after="0"/>
        <w:ind w:firstLine="567"/>
        <w:rPr>
          <w:rFonts w:eastAsia="Calibri"/>
          <w:color w:val="000000"/>
          <w:sz w:val="24"/>
          <w:szCs w:val="24"/>
          <w:u w:val="single"/>
        </w:rPr>
      </w:pPr>
      <w:r w:rsidRPr="00D830AD">
        <w:rPr>
          <w:rFonts w:eastAsia="Calibri"/>
          <w:sz w:val="24"/>
          <w:szCs w:val="22"/>
          <w:lang w:eastAsia="en-US"/>
        </w:rPr>
        <w:t>2. Рожков, Л. Н. Экологически приемлемые способы рубок и возобновления при освоении лесосечного фонда в Беларуси / Л. Н. Рожков, И. Ф. Ерошкина, О. Г. Бельчина // Актуальные проблемы лесного комплекса / Под общ. ред. Е. А. Памфилова. Сб. науч. тр. по итогам междунар. практ. конф. Вып. 39. – Брянск: БГИТА, 2014. – С. 80</w:t>
      </w:r>
      <w:r>
        <w:rPr>
          <w:rFonts w:eastAsia="Calibri"/>
          <w:sz w:val="24"/>
          <w:szCs w:val="22"/>
          <w:lang w:eastAsia="en-US"/>
        </w:rPr>
        <w:t>–</w:t>
      </w:r>
      <w:r w:rsidRPr="00D830AD">
        <w:rPr>
          <w:rFonts w:eastAsia="Calibri"/>
          <w:sz w:val="24"/>
          <w:szCs w:val="22"/>
          <w:lang w:eastAsia="en-US"/>
        </w:rPr>
        <w:t>85.</w:t>
      </w:r>
    </w:p>
    <w:p w:rsidR="00BE21CB" w:rsidRDefault="00BE21CB">
      <w:pPr>
        <w:sectPr w:rsidR="00BE21CB" w:rsidSect="00F67125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E21CB" w:rsidRDefault="00BE21CB" w:rsidP="00BE21CB">
      <w:pPr>
        <w:jc w:val="center"/>
        <w:rPr>
          <w:bCs/>
          <w:sz w:val="24"/>
          <w:szCs w:val="24"/>
          <w:u w:val="single"/>
        </w:rPr>
      </w:pPr>
      <w:r w:rsidRPr="00D830AD">
        <w:rPr>
          <w:bCs/>
          <w:sz w:val="24"/>
          <w:szCs w:val="24"/>
          <w:u w:val="single"/>
        </w:rPr>
        <w:lastRenderedPageBreak/>
        <w:t>Бутьковец В.В.</w:t>
      </w:r>
    </w:p>
    <w:p w:rsidR="00BE21CB" w:rsidRPr="00BE21CB" w:rsidRDefault="00BE21CB" w:rsidP="00BE21CB">
      <w:pPr>
        <w:jc w:val="center"/>
        <w:rPr>
          <w:bCs/>
          <w:sz w:val="24"/>
          <w:szCs w:val="24"/>
        </w:rPr>
      </w:pPr>
      <w:r w:rsidRPr="00BE21CB">
        <w:rPr>
          <w:bCs/>
          <w:sz w:val="24"/>
          <w:szCs w:val="24"/>
        </w:rPr>
        <w:t>Научный руководитель: Иванова А.А.</w:t>
      </w:r>
    </w:p>
    <w:p w:rsidR="00BE21CB" w:rsidRPr="00D830AD" w:rsidRDefault="00BE21CB" w:rsidP="00BE21CB">
      <w:pPr>
        <w:spacing w:after="0"/>
        <w:jc w:val="center"/>
        <w:rPr>
          <w:b/>
          <w:sz w:val="24"/>
          <w:szCs w:val="24"/>
        </w:rPr>
      </w:pPr>
      <w:r w:rsidRPr="00D830AD">
        <w:rPr>
          <w:b/>
          <w:sz w:val="24"/>
          <w:szCs w:val="24"/>
        </w:rPr>
        <w:t xml:space="preserve">ЛЕСОВОЗОБНОВИТЕЛЬНЫЙ ПОТЕНЦИАЛ БЕЛОРУССКОЙ ПОПУЛЯЦИИ </w:t>
      </w:r>
      <w:r w:rsidRPr="00D830AD">
        <w:rPr>
          <w:b/>
          <w:i/>
          <w:sz w:val="24"/>
          <w:szCs w:val="24"/>
          <w:lang w:val="en-US"/>
        </w:rPr>
        <w:t>PICEA</w:t>
      </w:r>
      <w:r w:rsidRPr="00D830AD">
        <w:rPr>
          <w:b/>
          <w:i/>
          <w:sz w:val="24"/>
          <w:szCs w:val="24"/>
        </w:rPr>
        <w:t xml:space="preserve"> </w:t>
      </w:r>
      <w:r w:rsidRPr="00D830AD">
        <w:rPr>
          <w:b/>
          <w:i/>
          <w:sz w:val="24"/>
          <w:szCs w:val="24"/>
          <w:lang w:val="en-US"/>
        </w:rPr>
        <w:t>ABIES</w:t>
      </w:r>
      <w:r w:rsidRPr="00D830AD">
        <w:rPr>
          <w:b/>
          <w:sz w:val="24"/>
          <w:szCs w:val="24"/>
        </w:rPr>
        <w:t xml:space="preserve"> НА ПРИМЕРЕ НАСАЖДЕНИЙ РОССОНСКОГО И БЕГОМЛЬСКОГО ЛЕСХОЗОВ ВИТЕБСКОГО ГПЛХО</w:t>
      </w:r>
    </w:p>
    <w:p w:rsidR="00BE21CB" w:rsidRPr="00F67125" w:rsidRDefault="00FC5600" w:rsidP="00BE21CB">
      <w:pPr>
        <w:spacing w:after="0" w:line="360" w:lineRule="exact"/>
        <w:ind w:firstLine="567"/>
        <w:contextualSpacing/>
        <w:jc w:val="center"/>
        <w:rPr>
          <w:rFonts w:eastAsia="Calibri"/>
          <w:i/>
          <w:sz w:val="24"/>
          <w:szCs w:val="22"/>
          <w:lang w:eastAsia="en-US"/>
        </w:rPr>
      </w:pPr>
      <w:r>
        <w:rPr>
          <w:rFonts w:eastAsia="Calibri"/>
          <w:i/>
          <w:sz w:val="24"/>
          <w:szCs w:val="22"/>
          <w:lang w:eastAsia="en-US"/>
        </w:rPr>
        <w:t>УО</w:t>
      </w:r>
      <w:r w:rsidR="00BE21CB" w:rsidRPr="00D830AD">
        <w:rPr>
          <w:rFonts w:eastAsia="Calibri"/>
          <w:i/>
          <w:sz w:val="24"/>
          <w:szCs w:val="22"/>
          <w:lang w:eastAsia="en-US"/>
        </w:rPr>
        <w:t xml:space="preserve"> «</w:t>
      </w:r>
      <w:r>
        <w:rPr>
          <w:rFonts w:eastAsia="Calibri"/>
          <w:i/>
          <w:sz w:val="24"/>
          <w:szCs w:val="22"/>
          <w:lang w:eastAsia="en-US"/>
        </w:rPr>
        <w:t>Средняя школа №10 г. Минска</w:t>
      </w:r>
      <w:r w:rsidR="00BE21CB" w:rsidRPr="00D830AD">
        <w:rPr>
          <w:rFonts w:eastAsia="Calibri"/>
          <w:i/>
          <w:sz w:val="24"/>
          <w:szCs w:val="22"/>
          <w:lang w:eastAsia="en-US"/>
        </w:rPr>
        <w:t>», 2</w:t>
      </w:r>
      <w:r>
        <w:rPr>
          <w:rFonts w:eastAsia="Calibri"/>
          <w:i/>
          <w:sz w:val="24"/>
          <w:szCs w:val="22"/>
          <w:lang w:eastAsia="en-US"/>
        </w:rPr>
        <w:t>20070</w:t>
      </w:r>
      <w:r w:rsidR="00BE21CB" w:rsidRPr="00D830AD">
        <w:rPr>
          <w:rFonts w:eastAsia="Calibri"/>
          <w:i/>
          <w:sz w:val="24"/>
          <w:szCs w:val="22"/>
          <w:lang w:eastAsia="en-US"/>
        </w:rPr>
        <w:t xml:space="preserve">, г. </w:t>
      </w:r>
      <w:r>
        <w:rPr>
          <w:rFonts w:eastAsia="Calibri"/>
          <w:i/>
          <w:sz w:val="24"/>
          <w:szCs w:val="22"/>
          <w:lang w:eastAsia="en-US"/>
        </w:rPr>
        <w:t>Минск</w:t>
      </w:r>
      <w:r w:rsidR="00BE21CB" w:rsidRPr="00D830AD">
        <w:rPr>
          <w:rFonts w:eastAsia="Calibri"/>
          <w:i/>
          <w:sz w:val="24"/>
          <w:szCs w:val="22"/>
          <w:lang w:eastAsia="en-US"/>
        </w:rPr>
        <w:t xml:space="preserve">, ул. </w:t>
      </w:r>
      <w:r>
        <w:rPr>
          <w:rFonts w:eastAsia="Calibri"/>
          <w:i/>
          <w:sz w:val="24"/>
          <w:szCs w:val="22"/>
          <w:lang w:eastAsia="en-US"/>
        </w:rPr>
        <w:t>Ленина</w:t>
      </w:r>
      <w:r w:rsidR="00BE21CB" w:rsidRPr="00D830AD">
        <w:rPr>
          <w:rFonts w:eastAsia="Calibri"/>
          <w:i/>
          <w:sz w:val="24"/>
          <w:szCs w:val="22"/>
          <w:lang w:eastAsia="en-US"/>
        </w:rPr>
        <w:t xml:space="preserve"> </w:t>
      </w:r>
      <w:r>
        <w:rPr>
          <w:rFonts w:eastAsia="Calibri"/>
          <w:i/>
          <w:sz w:val="24"/>
          <w:szCs w:val="22"/>
          <w:lang w:eastAsia="en-US"/>
        </w:rPr>
        <w:t>1</w:t>
      </w:r>
      <w:r w:rsidR="00BE21CB" w:rsidRPr="00D830AD">
        <w:rPr>
          <w:rFonts w:eastAsia="Calibri"/>
          <w:i/>
          <w:sz w:val="24"/>
          <w:szCs w:val="22"/>
          <w:lang w:eastAsia="en-US"/>
        </w:rPr>
        <w:t>, Беларусь</w:t>
      </w:r>
      <w:r w:rsidR="00BE21CB">
        <w:rPr>
          <w:rFonts w:eastAsia="Calibri"/>
          <w:i/>
          <w:sz w:val="24"/>
          <w:szCs w:val="22"/>
          <w:lang w:eastAsia="en-US"/>
        </w:rPr>
        <w:t xml:space="preserve">, </w:t>
      </w:r>
      <w:r w:rsidR="00CA1B0B">
        <w:rPr>
          <w:rFonts w:eastAsia="Calibri"/>
          <w:i/>
          <w:sz w:val="24"/>
          <w:szCs w:val="22"/>
          <w:lang w:eastAsia="en-US"/>
        </w:rPr>
        <w:br/>
      </w:r>
      <w:r w:rsidR="00BE21CB" w:rsidRPr="00D830AD">
        <w:rPr>
          <w:rFonts w:eastAsia="Calibri"/>
          <w:i/>
          <w:sz w:val="24"/>
          <w:szCs w:val="22"/>
          <w:lang w:val="en-US" w:eastAsia="en-US"/>
        </w:rPr>
        <w:t>e</w:t>
      </w:r>
      <w:r w:rsidR="00BE21CB" w:rsidRPr="00F67125">
        <w:rPr>
          <w:rFonts w:eastAsia="Calibri"/>
          <w:i/>
          <w:sz w:val="24"/>
          <w:szCs w:val="22"/>
          <w:lang w:eastAsia="en-US"/>
        </w:rPr>
        <w:t>-</w:t>
      </w:r>
      <w:r w:rsidR="00BE21CB" w:rsidRPr="00D830AD">
        <w:rPr>
          <w:rFonts w:eastAsia="Calibri"/>
          <w:i/>
          <w:sz w:val="24"/>
          <w:szCs w:val="22"/>
          <w:lang w:val="en-US" w:eastAsia="en-US"/>
        </w:rPr>
        <w:t>mail</w:t>
      </w:r>
      <w:r w:rsidR="00BE21CB" w:rsidRPr="00F67125">
        <w:rPr>
          <w:rFonts w:eastAsia="Calibri"/>
          <w:i/>
          <w:sz w:val="24"/>
          <w:szCs w:val="22"/>
          <w:lang w:eastAsia="en-US"/>
        </w:rPr>
        <w:t xml:space="preserve">: </w:t>
      </w:r>
      <w:hyperlink r:id="rId9" w:history="1">
        <w:r w:rsidR="00BE21CB" w:rsidRPr="00D830AD">
          <w:rPr>
            <w:rFonts w:eastAsia="Calibri"/>
            <w:i/>
            <w:sz w:val="24"/>
            <w:szCs w:val="22"/>
            <w:u w:val="single"/>
            <w:lang w:val="en-US" w:eastAsia="en-US"/>
          </w:rPr>
          <w:t>butskavets</w:t>
        </w:r>
        <w:r w:rsidR="00BE21CB" w:rsidRPr="00F67125">
          <w:rPr>
            <w:rFonts w:eastAsia="Calibri"/>
            <w:i/>
            <w:sz w:val="24"/>
            <w:szCs w:val="22"/>
            <w:u w:val="single"/>
            <w:lang w:eastAsia="en-US"/>
          </w:rPr>
          <w:t>.</w:t>
        </w:r>
        <w:r w:rsidR="00BE21CB" w:rsidRPr="00D830AD">
          <w:rPr>
            <w:rFonts w:eastAsia="Calibri"/>
            <w:i/>
            <w:sz w:val="24"/>
            <w:szCs w:val="22"/>
            <w:u w:val="single"/>
            <w:lang w:val="en-US" w:eastAsia="en-US"/>
          </w:rPr>
          <w:t>u</w:t>
        </w:r>
        <w:r w:rsidR="00BE21CB" w:rsidRPr="00F67125">
          <w:rPr>
            <w:rFonts w:eastAsia="Calibri"/>
            <w:i/>
            <w:sz w:val="24"/>
            <w:szCs w:val="22"/>
            <w:u w:val="single"/>
            <w:lang w:eastAsia="en-US"/>
          </w:rPr>
          <w:t>@</w:t>
        </w:r>
        <w:r w:rsidR="00BE21CB" w:rsidRPr="00D830AD">
          <w:rPr>
            <w:rFonts w:eastAsia="Calibri"/>
            <w:i/>
            <w:sz w:val="24"/>
            <w:szCs w:val="22"/>
            <w:u w:val="single"/>
            <w:lang w:val="en-US" w:eastAsia="en-US"/>
          </w:rPr>
          <w:t>mail</w:t>
        </w:r>
        <w:r w:rsidR="00BE21CB" w:rsidRPr="00F67125">
          <w:rPr>
            <w:rFonts w:eastAsia="Calibri"/>
            <w:i/>
            <w:sz w:val="24"/>
            <w:szCs w:val="22"/>
            <w:u w:val="single"/>
            <w:lang w:eastAsia="en-US"/>
          </w:rPr>
          <w:t>.</w:t>
        </w:r>
        <w:r w:rsidR="00BE21CB" w:rsidRPr="00D830AD">
          <w:rPr>
            <w:rFonts w:eastAsia="Calibri"/>
            <w:i/>
            <w:sz w:val="24"/>
            <w:szCs w:val="22"/>
            <w:u w:val="single"/>
            <w:lang w:val="en-US" w:eastAsia="en-US"/>
          </w:rPr>
          <w:t>ru</w:t>
        </w:r>
      </w:hyperlink>
    </w:p>
    <w:p w:rsidR="00BE21CB" w:rsidRPr="00F67125" w:rsidRDefault="00BE21CB" w:rsidP="00BE21CB">
      <w:pPr>
        <w:spacing w:after="0" w:line="360" w:lineRule="exact"/>
        <w:ind w:firstLine="567"/>
        <w:contextualSpacing/>
        <w:rPr>
          <w:rFonts w:eastAsia="Calibri"/>
          <w:sz w:val="24"/>
          <w:szCs w:val="22"/>
          <w:lang w:eastAsia="en-US"/>
        </w:rPr>
      </w:pPr>
    </w:p>
    <w:p w:rsidR="00BE21CB" w:rsidRPr="00D830AD" w:rsidRDefault="00BE21CB" w:rsidP="00BE21CB">
      <w:pPr>
        <w:spacing w:after="0"/>
        <w:ind w:firstLine="567"/>
        <w:rPr>
          <w:rFonts w:eastAsia="Calibri"/>
          <w:sz w:val="24"/>
          <w:szCs w:val="22"/>
          <w:lang w:eastAsia="en-US"/>
        </w:rPr>
      </w:pPr>
      <w:r w:rsidRPr="00D830AD">
        <w:rPr>
          <w:rFonts w:eastAsia="Calibri"/>
          <w:b/>
          <w:sz w:val="24"/>
          <w:szCs w:val="22"/>
          <w:lang w:eastAsia="en-US"/>
        </w:rPr>
        <w:t>Введение.</w:t>
      </w:r>
      <w:r w:rsidRPr="00D830AD">
        <w:rPr>
          <w:rFonts w:eastAsia="Calibri"/>
          <w:sz w:val="24"/>
          <w:szCs w:val="22"/>
          <w:lang w:eastAsia="en-US"/>
        </w:rPr>
        <w:t xml:space="preserve"> Формация еловых лесов в Беларуси является зональной и в направлении с севера на юг претерпевает не только количественные, но и определенные качественные изменения. В связи с изменяющимися погодно-климатическими условиями и увеличением антропогенной нагрузки ельники испытывают сильное негативное воздействие, приводящее к сокращению еловых древостоев. Учеными-лесоводами отмечается, что еловые насаждения, образовавшиеся естественным путем, имеют ряд преимуществ над искусственно создаваемыми лесными культурами. Успешность формирования елью материнских древостоев обеспечивается уровнем её лесовозобновительного потенциала [1].</w:t>
      </w:r>
    </w:p>
    <w:p w:rsidR="00BE21CB" w:rsidRPr="00D830AD" w:rsidRDefault="00BE21CB" w:rsidP="00BE21CB">
      <w:pPr>
        <w:spacing w:after="0"/>
        <w:ind w:firstLine="567"/>
        <w:rPr>
          <w:rFonts w:eastAsia="Calibri"/>
          <w:sz w:val="24"/>
          <w:szCs w:val="22"/>
          <w:lang w:eastAsia="en-US"/>
        </w:rPr>
      </w:pPr>
      <w:r w:rsidRPr="00D830AD">
        <w:rPr>
          <w:rFonts w:eastAsia="Calibri"/>
          <w:b/>
          <w:sz w:val="24"/>
          <w:szCs w:val="22"/>
          <w:lang w:eastAsia="en-US"/>
        </w:rPr>
        <w:t>Материалы и методы.</w:t>
      </w:r>
      <w:r w:rsidRPr="00D830AD">
        <w:rPr>
          <w:rFonts w:eastAsia="Calibri"/>
          <w:sz w:val="24"/>
          <w:szCs w:val="22"/>
          <w:lang w:eastAsia="en-US"/>
        </w:rPr>
        <w:t xml:space="preserve"> В данном исследовании были проанализированы приспевающие, спелые и перестойные насаждения Россонского и Бегомльского лесхозов Витебского ГПЛХО. Анализируемые насаждения произрастают в 12 284 таксационных выделах на площади 43 884,6 га Россонского и в 6 104 выделах на площади 20 806,6</w:t>
      </w:r>
      <w:r>
        <w:rPr>
          <w:rFonts w:eastAsia="Calibri"/>
          <w:sz w:val="24"/>
          <w:szCs w:val="22"/>
          <w:lang w:eastAsia="en-US"/>
        </w:rPr>
        <w:t> </w:t>
      </w:r>
      <w:r w:rsidRPr="00D830AD">
        <w:rPr>
          <w:rFonts w:eastAsia="Calibri"/>
          <w:sz w:val="24"/>
          <w:szCs w:val="22"/>
          <w:lang w:eastAsia="en-US"/>
        </w:rPr>
        <w:t>га Бегомльского лесхозов. Таким образом, были охвачены насаждения 12 лесничеств Россонского и 8 лесничество Бегомльского лесхозов.</w:t>
      </w:r>
    </w:p>
    <w:p w:rsidR="00BE21CB" w:rsidRPr="00D830AD" w:rsidRDefault="00BE21CB" w:rsidP="00BE21CB">
      <w:pPr>
        <w:spacing w:after="0"/>
        <w:ind w:firstLine="567"/>
        <w:rPr>
          <w:rFonts w:eastAsia="Calibri"/>
          <w:sz w:val="24"/>
          <w:szCs w:val="22"/>
          <w:lang w:eastAsia="en-US"/>
        </w:rPr>
      </w:pPr>
      <w:r w:rsidRPr="00D830AD">
        <w:rPr>
          <w:rFonts w:eastAsia="Calibri"/>
          <w:b/>
          <w:sz w:val="24"/>
          <w:szCs w:val="22"/>
          <w:lang w:eastAsia="en-US"/>
        </w:rPr>
        <w:t>Результаты и</w:t>
      </w:r>
      <w:r w:rsidR="00AB3796">
        <w:rPr>
          <w:rFonts w:eastAsia="Calibri"/>
          <w:b/>
          <w:sz w:val="24"/>
          <w:szCs w:val="22"/>
          <w:lang w:eastAsia="en-US"/>
        </w:rPr>
        <w:t xml:space="preserve"> обсуждение</w:t>
      </w:r>
      <w:r w:rsidRPr="00D830AD">
        <w:rPr>
          <w:rFonts w:eastAsia="Calibri"/>
          <w:b/>
          <w:sz w:val="24"/>
          <w:szCs w:val="22"/>
          <w:lang w:eastAsia="en-US"/>
        </w:rPr>
        <w:t xml:space="preserve"> </w:t>
      </w:r>
      <w:r w:rsidRPr="00D830AD">
        <w:rPr>
          <w:rFonts w:eastAsia="Calibri"/>
          <w:sz w:val="24"/>
          <w:szCs w:val="22"/>
          <w:lang w:eastAsia="en-US"/>
        </w:rPr>
        <w:t>Приспевающие, спелые и перестойные насаждения представлены сосняками (40,9</w:t>
      </w:r>
      <w:r>
        <w:rPr>
          <w:rFonts w:eastAsia="Calibri"/>
          <w:sz w:val="24"/>
          <w:szCs w:val="22"/>
          <w:lang w:eastAsia="en-US"/>
        </w:rPr>
        <w:t> </w:t>
      </w:r>
      <w:r w:rsidRPr="00D830AD">
        <w:rPr>
          <w:rFonts w:eastAsia="Calibri"/>
          <w:sz w:val="24"/>
          <w:szCs w:val="22"/>
          <w:lang w:eastAsia="en-US"/>
        </w:rPr>
        <w:t>% от общей площади), ельниками (14,1</w:t>
      </w:r>
      <w:r>
        <w:rPr>
          <w:rFonts w:eastAsia="Calibri"/>
          <w:sz w:val="24"/>
          <w:szCs w:val="22"/>
          <w:lang w:eastAsia="en-US"/>
        </w:rPr>
        <w:t> </w:t>
      </w:r>
      <w:r w:rsidRPr="00D830AD">
        <w:rPr>
          <w:rFonts w:eastAsia="Calibri"/>
          <w:sz w:val="24"/>
          <w:szCs w:val="22"/>
          <w:lang w:eastAsia="en-US"/>
        </w:rPr>
        <w:t>%) и мелколиственными насаждениями (45,0</w:t>
      </w:r>
      <w:r>
        <w:rPr>
          <w:rFonts w:eastAsia="Calibri"/>
          <w:sz w:val="24"/>
          <w:szCs w:val="22"/>
          <w:lang w:eastAsia="en-US"/>
        </w:rPr>
        <w:t> </w:t>
      </w:r>
      <w:r w:rsidRPr="00D830AD">
        <w:rPr>
          <w:rFonts w:eastAsia="Calibri"/>
          <w:sz w:val="24"/>
          <w:szCs w:val="22"/>
          <w:lang w:eastAsia="en-US"/>
        </w:rPr>
        <w:t>%). Широколиственные насаждения представлены лишь в одном выделе (6,1</w:t>
      </w:r>
      <w:r>
        <w:rPr>
          <w:rFonts w:eastAsia="Calibri"/>
          <w:sz w:val="24"/>
          <w:szCs w:val="22"/>
          <w:lang w:eastAsia="en-US"/>
        </w:rPr>
        <w:t> </w:t>
      </w:r>
      <w:r w:rsidRPr="00D830AD">
        <w:rPr>
          <w:rFonts w:eastAsia="Calibri"/>
          <w:sz w:val="24"/>
          <w:szCs w:val="22"/>
          <w:lang w:eastAsia="en-US"/>
        </w:rPr>
        <w:t>га) Бегомльского лесхоза. Установлено, что под пологом 6 565 насаждений, произрастающих на площади 21 839,9 га (33,8</w:t>
      </w:r>
      <w:r>
        <w:rPr>
          <w:rFonts w:eastAsia="Calibri"/>
          <w:sz w:val="24"/>
          <w:szCs w:val="22"/>
          <w:lang w:eastAsia="en-US"/>
        </w:rPr>
        <w:t> </w:t>
      </w:r>
      <w:r w:rsidRPr="00D830AD">
        <w:rPr>
          <w:rFonts w:eastAsia="Calibri"/>
          <w:sz w:val="24"/>
          <w:szCs w:val="22"/>
          <w:lang w:eastAsia="en-US"/>
        </w:rPr>
        <w:t>%), имеется благонадежный подрост основных лесообразующих пород. При этом еловый подрост, способный сформировать в будущем высокопродуктивные еловые насаждения (произрастающий в благоприятных лесорастительных условиях), нами был отмечен на площади 15 538,6 га (24,0 %). Наиболее успешно естественное возобновление ели под пологом древостоев протекает в черничной (53,2</w:t>
      </w:r>
      <w:r>
        <w:rPr>
          <w:rFonts w:eastAsia="Calibri"/>
          <w:sz w:val="24"/>
          <w:szCs w:val="22"/>
          <w:lang w:eastAsia="en-US"/>
        </w:rPr>
        <w:t> </w:t>
      </w:r>
      <w:r w:rsidRPr="00D830AD">
        <w:rPr>
          <w:rFonts w:eastAsia="Calibri"/>
          <w:sz w:val="24"/>
          <w:szCs w:val="22"/>
          <w:lang w:eastAsia="en-US"/>
        </w:rPr>
        <w:t>% всех древостоев данной группе типов леса), орляковой (51,9 %) и кисличной (42,4</w:t>
      </w:r>
      <w:r>
        <w:rPr>
          <w:rFonts w:eastAsia="Calibri"/>
          <w:sz w:val="24"/>
          <w:szCs w:val="22"/>
          <w:lang w:eastAsia="en-US"/>
        </w:rPr>
        <w:t> </w:t>
      </w:r>
      <w:r w:rsidRPr="00D830AD">
        <w:rPr>
          <w:rFonts w:eastAsia="Calibri"/>
          <w:sz w:val="24"/>
          <w:szCs w:val="22"/>
          <w:lang w:eastAsia="en-US"/>
        </w:rPr>
        <w:t>%) группах типов леса. По густоте наибольший удельный вес имеет группа подроста с количеством от 2,0 до 3,9 тыс.шт./га (73,1</w:t>
      </w:r>
      <w:r>
        <w:rPr>
          <w:rFonts w:eastAsia="Calibri"/>
          <w:sz w:val="24"/>
          <w:szCs w:val="22"/>
          <w:lang w:eastAsia="en-US"/>
        </w:rPr>
        <w:t> </w:t>
      </w:r>
      <w:r w:rsidRPr="00D830AD">
        <w:rPr>
          <w:rFonts w:eastAsia="Calibri"/>
          <w:sz w:val="24"/>
          <w:szCs w:val="22"/>
          <w:lang w:eastAsia="en-US"/>
        </w:rPr>
        <w:t>% общего количества подроста) и с количеством более 4,0</w:t>
      </w:r>
      <w:r>
        <w:rPr>
          <w:rFonts w:eastAsia="Calibri"/>
          <w:sz w:val="24"/>
          <w:szCs w:val="22"/>
          <w:lang w:eastAsia="en-US"/>
        </w:rPr>
        <w:t> </w:t>
      </w:r>
      <w:r w:rsidRPr="00D830AD">
        <w:rPr>
          <w:rFonts w:eastAsia="Calibri"/>
          <w:sz w:val="24"/>
          <w:szCs w:val="22"/>
          <w:lang w:eastAsia="en-US"/>
        </w:rPr>
        <w:t>тыс.шт./га (15,5</w:t>
      </w:r>
      <w:r>
        <w:rPr>
          <w:rFonts w:eastAsia="Calibri"/>
          <w:sz w:val="24"/>
          <w:szCs w:val="22"/>
          <w:lang w:eastAsia="en-US"/>
        </w:rPr>
        <w:t> </w:t>
      </w:r>
      <w:r w:rsidRPr="00D830AD">
        <w:rPr>
          <w:rFonts w:eastAsia="Calibri"/>
          <w:sz w:val="24"/>
          <w:szCs w:val="22"/>
          <w:lang w:eastAsia="en-US"/>
        </w:rPr>
        <w:t>%). Подрост количеством до 2,0</w:t>
      </w:r>
      <w:r>
        <w:rPr>
          <w:rFonts w:eastAsia="Calibri"/>
          <w:sz w:val="24"/>
          <w:szCs w:val="22"/>
          <w:lang w:eastAsia="en-US"/>
        </w:rPr>
        <w:t> </w:t>
      </w:r>
      <w:r w:rsidRPr="00D830AD">
        <w:rPr>
          <w:rFonts w:eastAsia="Calibri"/>
          <w:sz w:val="24"/>
          <w:szCs w:val="22"/>
          <w:lang w:eastAsia="en-US"/>
        </w:rPr>
        <w:t>тыс.шт./га представлен лишь в 11,5</w:t>
      </w:r>
      <w:r>
        <w:rPr>
          <w:rFonts w:eastAsia="Calibri"/>
          <w:sz w:val="24"/>
          <w:szCs w:val="22"/>
          <w:lang w:eastAsia="en-US"/>
        </w:rPr>
        <w:t> </w:t>
      </w:r>
      <w:r w:rsidRPr="00D830AD">
        <w:rPr>
          <w:rFonts w:eastAsia="Calibri"/>
          <w:sz w:val="24"/>
          <w:szCs w:val="22"/>
          <w:lang w:eastAsia="en-US"/>
        </w:rPr>
        <w:t>% случаев.</w:t>
      </w:r>
    </w:p>
    <w:p w:rsidR="00BE21CB" w:rsidRDefault="00AB3796" w:rsidP="00BE21CB">
      <w:pPr>
        <w:spacing w:after="0"/>
        <w:ind w:firstLine="567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В</w:t>
      </w:r>
      <w:r w:rsidRPr="00D830AD">
        <w:rPr>
          <w:rFonts w:eastAsia="Calibri"/>
          <w:b/>
          <w:sz w:val="24"/>
          <w:szCs w:val="22"/>
          <w:lang w:eastAsia="en-US"/>
        </w:rPr>
        <w:t>ыводы.</w:t>
      </w:r>
      <w:r w:rsidR="009A45B4" w:rsidRPr="009A45B4">
        <w:rPr>
          <w:rFonts w:eastAsia="Calibri"/>
          <w:b/>
          <w:sz w:val="24"/>
          <w:szCs w:val="22"/>
          <w:lang w:eastAsia="en-US"/>
        </w:rPr>
        <w:t xml:space="preserve"> </w:t>
      </w:r>
      <w:r w:rsidR="00BE21CB" w:rsidRPr="00D830AD">
        <w:rPr>
          <w:rFonts w:eastAsia="Calibri"/>
          <w:sz w:val="24"/>
          <w:szCs w:val="22"/>
          <w:lang w:eastAsia="en-US"/>
        </w:rPr>
        <w:t>Вышеуказанное свидетельствует о высоком лесовозобновительном потенциале популяции ели европейской даже в условиях негативных изменений экологических условий. Рациональное проведение лесохозяйственных мероприятий на территории указанных учреждений, посредством проведения несплошных рубок леса и обеспечения сохранения подроста, позволит сохранить площадь еловых насаждений.</w:t>
      </w:r>
    </w:p>
    <w:p w:rsidR="00BE21CB" w:rsidRPr="00F67125" w:rsidRDefault="00BE21CB" w:rsidP="00BE21CB">
      <w:pPr>
        <w:spacing w:after="0"/>
        <w:ind w:firstLine="567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lastRenderedPageBreak/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</w:p>
    <w:p w:rsidR="00BE21CB" w:rsidRPr="00F67125" w:rsidRDefault="00BE21CB" w:rsidP="00BE21CB">
      <w:pPr>
        <w:spacing w:after="0"/>
        <w:ind w:firstLine="567"/>
        <w:rPr>
          <w:rFonts w:eastAsia="Calibri"/>
        </w:rPr>
      </w:pP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>.</w:t>
      </w:r>
    </w:p>
    <w:p w:rsidR="00BE21CB" w:rsidRPr="00F67125" w:rsidRDefault="00BE21CB" w:rsidP="00BE21CB">
      <w:pPr>
        <w:spacing w:after="0"/>
        <w:ind w:firstLine="567"/>
        <w:rPr>
          <w:rFonts w:eastAsia="Calibri"/>
        </w:rPr>
      </w:pP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lorem</w:t>
      </w:r>
      <w:r w:rsidRPr="00F67125">
        <w:rPr>
          <w:rFonts w:eastAsia="Calibri"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val="en-US" w:eastAsia="en-US"/>
        </w:rPr>
        <w:t>ipsum</w:t>
      </w:r>
      <w:r w:rsidRPr="00F67125">
        <w:rPr>
          <w:rFonts w:eastAsia="Calibri"/>
          <w:sz w:val="24"/>
          <w:szCs w:val="22"/>
          <w:lang w:eastAsia="en-US"/>
        </w:rPr>
        <w:t>.</w:t>
      </w:r>
    </w:p>
    <w:p w:rsidR="00BE21CB" w:rsidRPr="00BE21CB" w:rsidRDefault="00BE21CB" w:rsidP="00BE21CB">
      <w:pPr>
        <w:spacing w:after="0" w:line="360" w:lineRule="exact"/>
        <w:ind w:firstLine="567"/>
        <w:contextualSpacing/>
        <w:rPr>
          <w:rFonts w:eastAsia="Calibri"/>
          <w:b/>
          <w:sz w:val="24"/>
          <w:szCs w:val="22"/>
          <w:lang w:eastAsia="en-US"/>
        </w:rPr>
      </w:pPr>
      <w:r w:rsidRPr="00D830AD">
        <w:rPr>
          <w:rFonts w:eastAsia="Calibri"/>
          <w:b/>
          <w:sz w:val="24"/>
          <w:szCs w:val="22"/>
          <w:lang w:eastAsia="en-US"/>
        </w:rPr>
        <w:t>Литература</w:t>
      </w:r>
    </w:p>
    <w:p w:rsidR="00BE21CB" w:rsidRPr="00D830AD" w:rsidRDefault="00BE21CB" w:rsidP="00BE21CB">
      <w:pPr>
        <w:spacing w:after="0"/>
        <w:ind w:firstLine="567"/>
        <w:rPr>
          <w:rFonts w:eastAsia="Calibri"/>
          <w:sz w:val="24"/>
          <w:szCs w:val="22"/>
          <w:lang w:eastAsia="en-US"/>
        </w:rPr>
      </w:pPr>
      <w:r w:rsidRPr="00D830AD">
        <w:rPr>
          <w:rFonts w:eastAsia="Calibri"/>
          <w:sz w:val="24"/>
          <w:szCs w:val="22"/>
          <w:lang w:eastAsia="en-US"/>
        </w:rPr>
        <w:t>1. Рожков, Л. Н. Лесовозобновительный потенциал белорусской популяции Picea abies в современных условиях / Л. Н. Рожков, В. В. Бутьковец // Труды БГТУ. Сер. 1, Лесное хозяйство, природопользование и переработка возобновляемых ресурсов. – Минск : БГТУ, 2017. – № 1 (192). – C. 18</w:t>
      </w:r>
      <w:r>
        <w:rPr>
          <w:rFonts w:eastAsia="Calibri"/>
          <w:sz w:val="24"/>
          <w:szCs w:val="22"/>
          <w:lang w:eastAsia="en-US"/>
        </w:rPr>
        <w:t>–</w:t>
      </w:r>
      <w:r w:rsidRPr="00D830AD">
        <w:rPr>
          <w:rFonts w:eastAsia="Calibri"/>
          <w:sz w:val="24"/>
          <w:szCs w:val="22"/>
          <w:lang w:eastAsia="en-US"/>
        </w:rPr>
        <w:t>22.</w:t>
      </w:r>
    </w:p>
    <w:p w:rsidR="00FC5600" w:rsidRDefault="00BE21CB" w:rsidP="00BE21CB">
      <w:pPr>
        <w:spacing w:after="0"/>
        <w:ind w:firstLine="567"/>
        <w:rPr>
          <w:rFonts w:eastAsia="Calibri"/>
          <w:sz w:val="24"/>
          <w:szCs w:val="22"/>
          <w:lang w:eastAsia="en-US"/>
        </w:rPr>
        <w:sectPr w:rsidR="00FC5600" w:rsidSect="00F67125">
          <w:head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830AD">
        <w:rPr>
          <w:rFonts w:eastAsia="Calibri"/>
          <w:sz w:val="24"/>
          <w:szCs w:val="22"/>
          <w:lang w:eastAsia="en-US"/>
        </w:rPr>
        <w:t>2. Рожков, Л. Н. Экологически приемлемые способы рубок и возобновления при освоении лесосечного фонда в Беларуси / Л. Н. Рожков, И. Ф. Ерошкина, О. Г. Бельчина // Актуальные проблемы лесного комплекса / Под общ. ред. Е. А. Памфилова. Сб. науч. тр. по итогам междунар. практ. конф. Вып. 39. – Брянск: БГИТА, 2014. – С. 80</w:t>
      </w:r>
      <w:r>
        <w:rPr>
          <w:rFonts w:eastAsia="Calibri"/>
          <w:sz w:val="24"/>
          <w:szCs w:val="22"/>
          <w:lang w:eastAsia="en-US"/>
        </w:rPr>
        <w:t>–</w:t>
      </w:r>
      <w:r w:rsidRPr="00D830AD">
        <w:rPr>
          <w:rFonts w:eastAsia="Calibri"/>
          <w:sz w:val="24"/>
          <w:szCs w:val="22"/>
          <w:lang w:eastAsia="en-US"/>
        </w:rPr>
        <w:t>85.</w:t>
      </w:r>
    </w:p>
    <w:p w:rsidR="00FC5600" w:rsidRPr="00C176A8" w:rsidRDefault="00FC5600" w:rsidP="00FC5600">
      <w:pPr>
        <w:rPr>
          <w:rFonts w:ascii="Arial" w:hAnsi="Arial" w:cs="Arial"/>
        </w:rPr>
      </w:pPr>
      <w:r w:rsidRPr="00C176A8">
        <w:rPr>
          <w:rFonts w:ascii="Arial" w:hAnsi="Arial" w:cs="Arial"/>
        </w:rPr>
        <w:lastRenderedPageBreak/>
        <w:t>Оформление материалов конференции «Молодежь в науке – 2</w:t>
      </w:r>
      <w:r w:rsidR="00AB3796">
        <w:rPr>
          <w:rFonts w:ascii="Arial" w:hAnsi="Arial" w:cs="Arial"/>
        </w:rPr>
        <w:t>.</w:t>
      </w:r>
      <w:r w:rsidRPr="00C176A8">
        <w:rPr>
          <w:rFonts w:ascii="Arial" w:hAnsi="Arial" w:cs="Arial"/>
        </w:rPr>
        <w:t>0</w:t>
      </w:r>
      <w:r w:rsidR="009A45B4" w:rsidRPr="009A45B4">
        <w:rPr>
          <w:rFonts w:ascii="Arial" w:hAnsi="Arial" w:cs="Arial"/>
        </w:rPr>
        <w:t>’</w:t>
      </w:r>
      <w:r w:rsidR="00AB3796">
        <w:rPr>
          <w:rFonts w:ascii="Arial" w:hAnsi="Arial" w:cs="Arial"/>
        </w:rPr>
        <w:t>20</w:t>
      </w:r>
      <w:r w:rsidRPr="00C176A8">
        <w:rPr>
          <w:rFonts w:ascii="Arial" w:hAnsi="Arial" w:cs="Arial"/>
        </w:rPr>
        <w:t>»</w:t>
      </w:r>
    </w:p>
    <w:p w:rsidR="00FC5600" w:rsidRPr="00F22657" w:rsidRDefault="00FC5600" w:rsidP="00FC5600">
      <w:pPr>
        <w:rPr>
          <w:rFonts w:ascii="Arial" w:hAnsi="Arial" w:cs="Arial"/>
          <w:color w:val="606060"/>
          <w:sz w:val="18"/>
          <w:szCs w:val="18"/>
        </w:rPr>
      </w:pPr>
      <w:r w:rsidRPr="00F22657">
        <w:rPr>
          <w:rFonts w:ascii="Arial" w:hAnsi="Arial" w:cs="Arial"/>
          <w:color w:val="606060"/>
          <w:sz w:val="18"/>
          <w:szCs w:val="18"/>
        </w:rPr>
        <w:t xml:space="preserve">I. </w:t>
      </w:r>
      <w:r>
        <w:rPr>
          <w:rFonts w:ascii="Arial" w:hAnsi="Arial" w:cs="Arial"/>
          <w:color w:val="606060"/>
          <w:sz w:val="18"/>
          <w:szCs w:val="18"/>
        </w:rPr>
        <w:t>Материалы,</w:t>
      </w:r>
      <w:r w:rsidRPr="00F22657">
        <w:rPr>
          <w:rFonts w:ascii="Arial" w:hAnsi="Arial" w:cs="Arial"/>
          <w:color w:val="606060"/>
          <w:sz w:val="18"/>
          <w:szCs w:val="18"/>
        </w:rPr>
        <w:t xml:space="preserve"> </w:t>
      </w:r>
      <w:r>
        <w:rPr>
          <w:rFonts w:ascii="Arial" w:hAnsi="Arial" w:cs="Arial"/>
          <w:color w:val="606060"/>
          <w:sz w:val="18"/>
          <w:szCs w:val="18"/>
        </w:rPr>
        <w:t xml:space="preserve">содержащие </w:t>
      </w:r>
      <w:r w:rsidRPr="00F22657">
        <w:rPr>
          <w:rFonts w:ascii="Arial" w:hAnsi="Arial" w:cs="Arial"/>
          <w:color w:val="606060"/>
          <w:sz w:val="18"/>
          <w:szCs w:val="18"/>
        </w:rPr>
        <w:t>результат</w:t>
      </w:r>
      <w:r>
        <w:rPr>
          <w:rFonts w:ascii="Arial" w:hAnsi="Arial" w:cs="Arial"/>
          <w:color w:val="606060"/>
          <w:sz w:val="18"/>
          <w:szCs w:val="18"/>
        </w:rPr>
        <w:t>ы</w:t>
      </w:r>
      <w:r w:rsidRPr="00F22657">
        <w:rPr>
          <w:rFonts w:ascii="Arial" w:hAnsi="Arial" w:cs="Arial"/>
          <w:color w:val="606060"/>
          <w:sz w:val="18"/>
          <w:szCs w:val="18"/>
        </w:rPr>
        <w:t xml:space="preserve"> работ, проведенных в научных учреждениях, должны иметь разрешение на опубликование (сопроводительное письмо ректората или дирекции соответствующего института либо выписку из протокола заседания ученого совета, отдела или кафедры, а также акт экспертизы).</w:t>
      </w:r>
    </w:p>
    <w:p w:rsidR="00FC5600" w:rsidRPr="00F22657" w:rsidRDefault="00FC5600" w:rsidP="00FC5600">
      <w:pPr>
        <w:rPr>
          <w:rFonts w:ascii="Arial" w:hAnsi="Arial" w:cs="Arial"/>
          <w:color w:val="606060"/>
          <w:sz w:val="18"/>
          <w:szCs w:val="18"/>
        </w:rPr>
      </w:pPr>
      <w:r w:rsidRPr="00F22657">
        <w:rPr>
          <w:rFonts w:ascii="Arial" w:hAnsi="Arial" w:cs="Arial"/>
          <w:color w:val="606060"/>
          <w:sz w:val="18"/>
          <w:szCs w:val="18"/>
        </w:rPr>
        <w:t xml:space="preserve">II. </w:t>
      </w:r>
      <w:r>
        <w:rPr>
          <w:rFonts w:ascii="Arial" w:hAnsi="Arial" w:cs="Arial"/>
          <w:color w:val="606060"/>
          <w:sz w:val="18"/>
          <w:szCs w:val="18"/>
        </w:rPr>
        <w:t>Материалы</w:t>
      </w:r>
      <w:r w:rsidRPr="00F22657">
        <w:rPr>
          <w:rFonts w:ascii="Arial" w:hAnsi="Arial" w:cs="Arial"/>
          <w:color w:val="606060"/>
          <w:sz w:val="18"/>
          <w:szCs w:val="18"/>
        </w:rPr>
        <w:t xml:space="preserve"> предоставля</w:t>
      </w:r>
      <w:r>
        <w:rPr>
          <w:rFonts w:ascii="Arial" w:hAnsi="Arial" w:cs="Arial"/>
          <w:color w:val="606060"/>
          <w:sz w:val="18"/>
          <w:szCs w:val="18"/>
        </w:rPr>
        <w:t>ю</w:t>
      </w:r>
      <w:r w:rsidRPr="00F22657">
        <w:rPr>
          <w:rFonts w:ascii="Arial" w:hAnsi="Arial" w:cs="Arial"/>
          <w:color w:val="606060"/>
          <w:sz w:val="18"/>
          <w:szCs w:val="18"/>
        </w:rPr>
        <w:t xml:space="preserve">тся в </w:t>
      </w:r>
      <w:r>
        <w:rPr>
          <w:rFonts w:ascii="Arial" w:hAnsi="Arial" w:cs="Arial"/>
          <w:color w:val="606060"/>
          <w:sz w:val="18"/>
          <w:szCs w:val="18"/>
        </w:rPr>
        <w:t xml:space="preserve">Оргкомитет конференции «Молодежь в науке» </w:t>
      </w:r>
      <w:r w:rsidRPr="00CD1431">
        <w:rPr>
          <w:rFonts w:ascii="Arial" w:hAnsi="Arial" w:cs="Arial"/>
          <w:color w:val="606060"/>
          <w:sz w:val="18"/>
          <w:szCs w:val="18"/>
        </w:rPr>
        <w:t>в одном экземпляре на</w:t>
      </w:r>
      <w:r w:rsidRPr="00F22657">
        <w:rPr>
          <w:rFonts w:ascii="Arial" w:hAnsi="Arial" w:cs="Arial"/>
          <w:color w:val="606060"/>
          <w:sz w:val="18"/>
          <w:szCs w:val="18"/>
        </w:rPr>
        <w:t xml:space="preserve"> белорусском, русском или английском языках; шрифт – Times New Roman, кегль – 1</w:t>
      </w:r>
      <w:r>
        <w:rPr>
          <w:rFonts w:ascii="Arial" w:hAnsi="Arial" w:cs="Arial"/>
          <w:color w:val="606060"/>
          <w:sz w:val="18"/>
          <w:szCs w:val="18"/>
        </w:rPr>
        <w:t>2</w:t>
      </w:r>
      <w:r w:rsidRPr="00F22657">
        <w:rPr>
          <w:rFonts w:ascii="Arial" w:hAnsi="Arial" w:cs="Arial"/>
          <w:color w:val="606060"/>
          <w:sz w:val="18"/>
          <w:szCs w:val="18"/>
        </w:rPr>
        <w:t xml:space="preserve"> (в том числе в формулах); межстрочный интервал – </w:t>
      </w:r>
      <w:r>
        <w:rPr>
          <w:rFonts w:ascii="Arial" w:hAnsi="Arial" w:cs="Arial"/>
          <w:color w:val="606060"/>
          <w:sz w:val="18"/>
          <w:szCs w:val="18"/>
        </w:rPr>
        <w:t>одинарный</w:t>
      </w:r>
      <w:r w:rsidRPr="00F22657">
        <w:rPr>
          <w:rFonts w:ascii="Arial" w:hAnsi="Arial" w:cs="Arial"/>
          <w:color w:val="606060"/>
          <w:sz w:val="18"/>
          <w:szCs w:val="18"/>
        </w:rPr>
        <w:t xml:space="preserve">. Занумерованные формулы выключаются в отдельную строку. В тексте не допускаются рукописные вставки и вклейки. III. </w:t>
      </w:r>
      <w:r>
        <w:rPr>
          <w:rFonts w:ascii="Arial" w:hAnsi="Arial" w:cs="Arial"/>
          <w:color w:val="606060"/>
          <w:sz w:val="18"/>
          <w:szCs w:val="18"/>
        </w:rPr>
        <w:t xml:space="preserve">Материалы </w:t>
      </w:r>
      <w:r w:rsidRPr="00F22657">
        <w:rPr>
          <w:rFonts w:ascii="Arial" w:hAnsi="Arial" w:cs="Arial"/>
          <w:color w:val="606060"/>
          <w:sz w:val="18"/>
          <w:szCs w:val="18"/>
        </w:rPr>
        <w:t>должн</w:t>
      </w:r>
      <w:r>
        <w:rPr>
          <w:rFonts w:ascii="Arial" w:hAnsi="Arial" w:cs="Arial"/>
          <w:color w:val="606060"/>
          <w:sz w:val="18"/>
          <w:szCs w:val="18"/>
        </w:rPr>
        <w:t>ы</w:t>
      </w:r>
      <w:r w:rsidRPr="00F22657">
        <w:rPr>
          <w:rFonts w:ascii="Arial" w:hAnsi="Arial" w:cs="Arial"/>
          <w:color w:val="606060"/>
          <w:sz w:val="18"/>
          <w:szCs w:val="18"/>
        </w:rPr>
        <w:t xml:space="preserve"> иметь следующую структуру:</w:t>
      </w:r>
    </w:p>
    <w:p w:rsidR="00FC5600" w:rsidRPr="00F22657" w:rsidRDefault="00FC5600" w:rsidP="00FC5600">
      <w:pPr>
        <w:rPr>
          <w:rFonts w:ascii="Arial" w:hAnsi="Arial" w:cs="Arial"/>
          <w:color w:val="606060"/>
          <w:sz w:val="18"/>
          <w:szCs w:val="18"/>
        </w:rPr>
      </w:pPr>
      <w:r w:rsidRPr="00F22657">
        <w:rPr>
          <w:rFonts w:ascii="Arial" w:hAnsi="Arial" w:cs="Arial"/>
          <w:color w:val="606060"/>
          <w:sz w:val="18"/>
          <w:szCs w:val="18"/>
        </w:rPr>
        <w:t>1. Индекс по Универсальной десятичной классификации (УДК);</w:t>
      </w:r>
    </w:p>
    <w:p w:rsidR="00FC5600" w:rsidRPr="00F22657" w:rsidRDefault="00FC5600" w:rsidP="00FC5600">
      <w:pPr>
        <w:rPr>
          <w:rFonts w:ascii="Arial" w:hAnsi="Arial" w:cs="Arial"/>
          <w:color w:val="606060"/>
          <w:sz w:val="18"/>
          <w:szCs w:val="18"/>
        </w:rPr>
      </w:pPr>
      <w:r w:rsidRPr="00F22657">
        <w:rPr>
          <w:rFonts w:ascii="Arial" w:hAnsi="Arial" w:cs="Arial"/>
          <w:color w:val="606060"/>
          <w:sz w:val="18"/>
          <w:szCs w:val="18"/>
        </w:rPr>
        <w:t>инициалы и фамилии авторов;</w:t>
      </w:r>
    </w:p>
    <w:p w:rsidR="00FC5600" w:rsidRPr="00F22657" w:rsidRDefault="00FC5600" w:rsidP="00FC5600">
      <w:pPr>
        <w:rPr>
          <w:rFonts w:ascii="Arial" w:hAnsi="Arial" w:cs="Arial"/>
          <w:color w:val="606060"/>
          <w:sz w:val="18"/>
          <w:szCs w:val="18"/>
        </w:rPr>
      </w:pPr>
      <w:r w:rsidRPr="00F22657">
        <w:rPr>
          <w:rFonts w:ascii="Arial" w:hAnsi="Arial" w:cs="Arial"/>
          <w:color w:val="606060"/>
          <w:sz w:val="18"/>
          <w:szCs w:val="18"/>
        </w:rPr>
        <w:t xml:space="preserve">название </w:t>
      </w:r>
      <w:r>
        <w:rPr>
          <w:rFonts w:ascii="Arial" w:hAnsi="Arial" w:cs="Arial"/>
          <w:color w:val="606060"/>
          <w:sz w:val="18"/>
          <w:szCs w:val="18"/>
        </w:rPr>
        <w:t>материалов</w:t>
      </w:r>
      <w:r w:rsidRPr="00F22657">
        <w:rPr>
          <w:rFonts w:ascii="Arial" w:hAnsi="Arial" w:cs="Arial"/>
          <w:color w:val="606060"/>
          <w:sz w:val="18"/>
          <w:szCs w:val="18"/>
        </w:rPr>
        <w:t>;</w:t>
      </w:r>
    </w:p>
    <w:p w:rsidR="00FC5600" w:rsidRPr="00F22657" w:rsidRDefault="00FC5600" w:rsidP="00FC5600">
      <w:pPr>
        <w:rPr>
          <w:rFonts w:ascii="Arial" w:hAnsi="Arial" w:cs="Arial"/>
          <w:color w:val="606060"/>
          <w:sz w:val="18"/>
          <w:szCs w:val="18"/>
        </w:rPr>
      </w:pPr>
      <w:r w:rsidRPr="00F22657">
        <w:rPr>
          <w:rFonts w:ascii="Arial" w:hAnsi="Arial" w:cs="Arial"/>
          <w:color w:val="606060"/>
          <w:sz w:val="18"/>
          <w:szCs w:val="18"/>
        </w:rPr>
        <w:t>полное наименование учреждений, где работают авторы, с указанием города и страны, адрес электронной почты</w:t>
      </w:r>
      <w:r w:rsidR="00E46B17">
        <w:rPr>
          <w:rFonts w:ascii="Arial" w:hAnsi="Arial" w:cs="Arial"/>
          <w:color w:val="606060"/>
          <w:sz w:val="18"/>
          <w:szCs w:val="18"/>
        </w:rPr>
        <w:t xml:space="preserve"> докладчика</w:t>
      </w:r>
      <w:r w:rsidRPr="00F22657">
        <w:rPr>
          <w:rFonts w:ascii="Arial" w:hAnsi="Arial" w:cs="Arial"/>
          <w:color w:val="606060"/>
          <w:sz w:val="18"/>
          <w:szCs w:val="18"/>
        </w:rPr>
        <w:t>.</w:t>
      </w:r>
    </w:p>
    <w:p w:rsidR="00FC5600" w:rsidRPr="00F22657" w:rsidRDefault="00FC5600" w:rsidP="00FC5600">
      <w:pPr>
        <w:rPr>
          <w:rFonts w:ascii="Arial" w:hAnsi="Arial" w:cs="Arial"/>
          <w:color w:val="606060"/>
          <w:sz w:val="18"/>
          <w:szCs w:val="18"/>
        </w:rPr>
      </w:pPr>
      <w:r>
        <w:rPr>
          <w:rFonts w:ascii="Arial" w:hAnsi="Arial" w:cs="Arial"/>
          <w:color w:val="606060"/>
          <w:sz w:val="18"/>
          <w:szCs w:val="18"/>
        </w:rPr>
        <w:t>2</w:t>
      </w:r>
      <w:r w:rsidRPr="00F22657">
        <w:rPr>
          <w:rFonts w:ascii="Arial" w:hAnsi="Arial" w:cs="Arial"/>
          <w:color w:val="606060"/>
          <w:sz w:val="18"/>
          <w:szCs w:val="18"/>
        </w:rPr>
        <w:t xml:space="preserve">. Основной текст </w:t>
      </w:r>
      <w:r>
        <w:rPr>
          <w:rFonts w:ascii="Arial" w:hAnsi="Arial" w:cs="Arial"/>
          <w:color w:val="606060"/>
          <w:sz w:val="18"/>
          <w:szCs w:val="18"/>
        </w:rPr>
        <w:t xml:space="preserve">материалов </w:t>
      </w:r>
      <w:r w:rsidRPr="00F22657">
        <w:rPr>
          <w:rFonts w:ascii="Arial" w:hAnsi="Arial" w:cs="Arial"/>
          <w:color w:val="606060"/>
          <w:sz w:val="18"/>
          <w:szCs w:val="18"/>
        </w:rPr>
        <w:t xml:space="preserve">должен составлять </w:t>
      </w:r>
      <w:r w:rsidR="00754E28">
        <w:rPr>
          <w:rFonts w:ascii="Arial" w:hAnsi="Arial" w:cs="Arial"/>
          <w:color w:val="606060"/>
          <w:sz w:val="18"/>
          <w:szCs w:val="18"/>
        </w:rPr>
        <w:t>3</w:t>
      </w:r>
      <w:r>
        <w:rPr>
          <w:rFonts w:ascii="Arial" w:hAnsi="Arial" w:cs="Arial"/>
          <w:color w:val="606060"/>
          <w:sz w:val="18"/>
          <w:szCs w:val="18"/>
        </w:rPr>
        <w:t>-</w:t>
      </w:r>
      <w:r w:rsidR="00754E28">
        <w:rPr>
          <w:rFonts w:ascii="Arial" w:hAnsi="Arial" w:cs="Arial"/>
          <w:color w:val="606060"/>
          <w:sz w:val="18"/>
          <w:szCs w:val="18"/>
        </w:rPr>
        <w:t>6</w:t>
      </w:r>
      <w:r w:rsidRPr="00CD1431">
        <w:rPr>
          <w:rFonts w:ascii="Arial" w:hAnsi="Arial" w:cs="Arial"/>
          <w:color w:val="606060"/>
          <w:sz w:val="18"/>
          <w:szCs w:val="18"/>
        </w:rPr>
        <w:t xml:space="preserve"> тыс. знаков</w:t>
      </w:r>
      <w:r>
        <w:rPr>
          <w:rFonts w:ascii="Arial" w:hAnsi="Arial" w:cs="Arial"/>
          <w:color w:val="606060"/>
          <w:sz w:val="18"/>
          <w:szCs w:val="18"/>
        </w:rPr>
        <w:t xml:space="preserve"> (но не более 2 страниц указанного форматирования)</w:t>
      </w:r>
      <w:r w:rsidRPr="00CD1431">
        <w:rPr>
          <w:rFonts w:ascii="Arial" w:hAnsi="Arial" w:cs="Arial"/>
          <w:color w:val="606060"/>
          <w:sz w:val="18"/>
          <w:szCs w:val="18"/>
        </w:rPr>
        <w:t>; в этот</w:t>
      </w:r>
      <w:r w:rsidRPr="00F22657">
        <w:rPr>
          <w:rFonts w:ascii="Arial" w:hAnsi="Arial" w:cs="Arial"/>
          <w:color w:val="606060"/>
          <w:sz w:val="18"/>
          <w:szCs w:val="18"/>
        </w:rPr>
        <w:t xml:space="preserve"> объем</w:t>
      </w:r>
      <w:r>
        <w:rPr>
          <w:rFonts w:ascii="Arial" w:hAnsi="Arial" w:cs="Arial"/>
          <w:color w:val="606060"/>
          <w:sz w:val="18"/>
          <w:szCs w:val="18"/>
        </w:rPr>
        <w:t xml:space="preserve"> также входят таблицы и рисунки</w:t>
      </w:r>
      <w:r w:rsidRPr="00F22657">
        <w:rPr>
          <w:rFonts w:ascii="Arial" w:hAnsi="Arial" w:cs="Arial"/>
          <w:color w:val="606060"/>
          <w:sz w:val="18"/>
          <w:szCs w:val="18"/>
        </w:rPr>
        <w:t>. Изложенный материал должен быть четко структурированным: введение, цели и задачи, методы, результаты, заключение (выводы). 6. Список использованной литературы оформляется в соответствии с требованиями Высшей аттестационной комиссии Республики Беларусь (ГОСТ 7.1-2003). Цитированная литература приводится общим списком по мере упоминания, ссылки в тексте даются порядковым номером в квадратных скобках (напр., [1]); ссылки на неопубликованные работы не допускаются).</w:t>
      </w:r>
    </w:p>
    <w:p w:rsidR="00FC5600" w:rsidRPr="00F22657" w:rsidRDefault="00FC5600" w:rsidP="00FC5600">
      <w:pPr>
        <w:rPr>
          <w:rFonts w:ascii="Arial" w:hAnsi="Arial" w:cs="Arial"/>
          <w:b/>
          <w:color w:val="606060"/>
          <w:sz w:val="18"/>
          <w:szCs w:val="18"/>
        </w:rPr>
      </w:pPr>
      <w:r w:rsidRPr="00F22657">
        <w:rPr>
          <w:rFonts w:ascii="Arial" w:hAnsi="Arial" w:cs="Arial"/>
          <w:b/>
          <w:color w:val="606060"/>
          <w:sz w:val="18"/>
          <w:szCs w:val="18"/>
        </w:rPr>
        <w:t xml:space="preserve">Примеры (подготовлены по материалам методических рекомендаций «Редакционная подготовка научных журналов для включения в зарубежные индексы цитирования» </w:t>
      </w:r>
    </w:p>
    <w:p w:rsidR="00FC5600" w:rsidRPr="00F22657" w:rsidRDefault="00FC5600" w:rsidP="00FC5600">
      <w:pPr>
        <w:rPr>
          <w:rFonts w:ascii="Arial" w:hAnsi="Arial" w:cs="Arial"/>
          <w:color w:val="606060"/>
          <w:sz w:val="18"/>
          <w:szCs w:val="18"/>
        </w:rPr>
      </w:pPr>
      <w:r w:rsidRPr="00F22657">
        <w:rPr>
          <w:rFonts w:ascii="Arial" w:hAnsi="Arial" w:cs="Arial"/>
          <w:color w:val="606060"/>
          <w:sz w:val="18"/>
          <w:szCs w:val="18"/>
        </w:rPr>
        <w:t>О. В. Кирилловой (http://elsevierscience.ru/files/kirillova_editorial.pdf):</w:t>
      </w:r>
    </w:p>
    <w:p w:rsidR="00FC5600" w:rsidRPr="00F22657" w:rsidRDefault="00FC5600" w:rsidP="00FC5600">
      <w:pPr>
        <w:rPr>
          <w:rFonts w:ascii="Arial" w:hAnsi="Arial" w:cs="Arial"/>
          <w:color w:val="606060"/>
          <w:sz w:val="18"/>
          <w:szCs w:val="18"/>
        </w:rPr>
      </w:pPr>
      <w:r w:rsidRPr="00F22657">
        <w:rPr>
          <w:rFonts w:ascii="Arial" w:hAnsi="Arial" w:cs="Arial"/>
          <w:color w:val="606060"/>
          <w:sz w:val="18"/>
          <w:szCs w:val="18"/>
        </w:rPr>
        <w:t>статьи из журналов:</w:t>
      </w:r>
    </w:p>
    <w:p w:rsidR="00FC5600" w:rsidRPr="00F22657" w:rsidRDefault="00FC5600" w:rsidP="00FC5600">
      <w:pPr>
        <w:rPr>
          <w:rFonts w:ascii="Arial" w:hAnsi="Arial" w:cs="Arial"/>
          <w:color w:val="606060"/>
          <w:sz w:val="18"/>
          <w:szCs w:val="18"/>
        </w:rPr>
      </w:pPr>
      <w:r w:rsidRPr="00F22657">
        <w:rPr>
          <w:rFonts w:ascii="Arial" w:hAnsi="Arial" w:cs="Arial"/>
          <w:color w:val="606060"/>
          <w:sz w:val="18"/>
          <w:szCs w:val="18"/>
        </w:rPr>
        <w:t>Zagurenko A.G., Korotovskikh V.A., Kolesnikov A.A., Timonov A.V., Kardymon D.V. Tekhniko-ekonomicheskaya optimizatsiya dizaina gidrorazryva plasta [Techno-economic optimization of the design of hydraulic fracturing]. Neftyanoe khozyaistvo = Oil Industry, 2008, no. 11, pp. 54–57.</w:t>
      </w:r>
    </w:p>
    <w:p w:rsidR="00FC5600" w:rsidRPr="00F22657" w:rsidRDefault="00FC5600" w:rsidP="00FC5600">
      <w:pPr>
        <w:rPr>
          <w:rFonts w:ascii="Arial" w:hAnsi="Arial" w:cs="Arial"/>
          <w:color w:val="606060"/>
          <w:sz w:val="18"/>
          <w:szCs w:val="18"/>
        </w:rPr>
      </w:pPr>
      <w:r w:rsidRPr="00F22657">
        <w:rPr>
          <w:rFonts w:ascii="Arial" w:hAnsi="Arial" w:cs="Arial"/>
          <w:color w:val="606060"/>
          <w:sz w:val="18"/>
          <w:szCs w:val="18"/>
        </w:rPr>
        <w:t>Описание статьи из электронного источника:</w:t>
      </w:r>
    </w:p>
    <w:p w:rsidR="00FC5600" w:rsidRPr="00F22657" w:rsidRDefault="00FC5600" w:rsidP="00FC5600">
      <w:pPr>
        <w:rPr>
          <w:rFonts w:ascii="Arial" w:hAnsi="Arial" w:cs="Arial"/>
          <w:color w:val="606060"/>
          <w:sz w:val="18"/>
          <w:szCs w:val="18"/>
          <w:lang w:val="en-US"/>
        </w:rPr>
      </w:pPr>
      <w:r w:rsidRPr="00F22657">
        <w:rPr>
          <w:rFonts w:ascii="Arial" w:hAnsi="Arial" w:cs="Arial"/>
          <w:color w:val="606060"/>
          <w:sz w:val="18"/>
          <w:szCs w:val="18"/>
          <w:lang w:val="en-US"/>
        </w:rPr>
        <w:t>Swaminathan V., Lepkoswka-White E., Rao B.P. Browsers or buyers in cyberspace? Aninvestigation of electronic factors influencing electronic exchange. Journal of Computer-Mediated Communication, 1999, vol. 5, no. 2. Available at: http://www. ascusc.org/ jcmc/vol5/issue2/ (Accessed 28 April 2011).</w:t>
      </w:r>
    </w:p>
    <w:p w:rsidR="00FC5600" w:rsidRPr="00F22657" w:rsidRDefault="00FC5600" w:rsidP="00FC5600">
      <w:pPr>
        <w:rPr>
          <w:rFonts w:ascii="Arial" w:hAnsi="Arial" w:cs="Arial"/>
          <w:color w:val="606060"/>
          <w:sz w:val="18"/>
          <w:szCs w:val="18"/>
          <w:lang w:val="en-US"/>
        </w:rPr>
      </w:pPr>
      <w:r w:rsidRPr="00F22657">
        <w:rPr>
          <w:rFonts w:ascii="Arial" w:hAnsi="Arial" w:cs="Arial"/>
          <w:color w:val="606060"/>
          <w:sz w:val="18"/>
          <w:szCs w:val="18"/>
        </w:rPr>
        <w:t>Описание</w:t>
      </w:r>
      <w:r w:rsidRPr="00F22657">
        <w:rPr>
          <w:rFonts w:ascii="Arial" w:hAnsi="Arial" w:cs="Arial"/>
          <w:color w:val="606060"/>
          <w:sz w:val="18"/>
          <w:szCs w:val="18"/>
          <w:lang w:val="en-US"/>
        </w:rPr>
        <w:t xml:space="preserve"> </w:t>
      </w:r>
      <w:r w:rsidRPr="00F22657">
        <w:rPr>
          <w:rFonts w:ascii="Arial" w:hAnsi="Arial" w:cs="Arial"/>
          <w:color w:val="606060"/>
          <w:sz w:val="18"/>
          <w:szCs w:val="18"/>
        </w:rPr>
        <w:t>статьи</w:t>
      </w:r>
      <w:r w:rsidRPr="00F22657">
        <w:rPr>
          <w:rFonts w:ascii="Arial" w:hAnsi="Arial" w:cs="Arial"/>
          <w:color w:val="606060"/>
          <w:sz w:val="18"/>
          <w:szCs w:val="18"/>
          <w:lang w:val="en-US"/>
        </w:rPr>
        <w:t xml:space="preserve"> </w:t>
      </w:r>
      <w:r w:rsidRPr="00F22657">
        <w:rPr>
          <w:rFonts w:ascii="Arial" w:hAnsi="Arial" w:cs="Arial"/>
          <w:color w:val="606060"/>
          <w:sz w:val="18"/>
          <w:szCs w:val="18"/>
        </w:rPr>
        <w:t>с</w:t>
      </w:r>
      <w:r w:rsidRPr="00F22657">
        <w:rPr>
          <w:rFonts w:ascii="Arial" w:hAnsi="Arial" w:cs="Arial"/>
          <w:color w:val="606060"/>
          <w:sz w:val="18"/>
          <w:szCs w:val="18"/>
          <w:lang w:val="en-US"/>
        </w:rPr>
        <w:t xml:space="preserve"> DOI:</w:t>
      </w:r>
    </w:p>
    <w:p w:rsidR="00FC5600" w:rsidRPr="00F22657" w:rsidRDefault="00FC5600" w:rsidP="00FC5600">
      <w:pPr>
        <w:rPr>
          <w:rFonts w:ascii="Arial" w:hAnsi="Arial" w:cs="Arial"/>
          <w:color w:val="606060"/>
          <w:sz w:val="18"/>
          <w:szCs w:val="18"/>
        </w:rPr>
      </w:pPr>
      <w:r w:rsidRPr="00F22657">
        <w:rPr>
          <w:rFonts w:ascii="Arial" w:hAnsi="Arial" w:cs="Arial"/>
          <w:color w:val="606060"/>
          <w:sz w:val="18"/>
          <w:szCs w:val="18"/>
          <w:lang w:val="en-US"/>
        </w:rPr>
        <w:t xml:space="preserve">Zhang Z., Zhu D. Experimental research on the localized electrochemical micromachining. </w:t>
      </w:r>
      <w:r w:rsidRPr="00F22657">
        <w:rPr>
          <w:rFonts w:ascii="Arial" w:hAnsi="Arial" w:cs="Arial"/>
          <w:color w:val="606060"/>
          <w:sz w:val="18"/>
          <w:szCs w:val="18"/>
        </w:rPr>
        <w:t>Russian Journal of Electrochemistry, 2008, vol. 44, no. 8, pp. 926–930. doi: 10.1134/S1023193508080077.</w:t>
      </w:r>
    </w:p>
    <w:p w:rsidR="00FC5600" w:rsidRPr="00F22657" w:rsidRDefault="00FC5600" w:rsidP="00FC5600">
      <w:pPr>
        <w:rPr>
          <w:rFonts w:ascii="Arial" w:hAnsi="Arial" w:cs="Arial"/>
          <w:color w:val="606060"/>
          <w:sz w:val="18"/>
          <w:szCs w:val="18"/>
        </w:rPr>
      </w:pPr>
      <w:r w:rsidRPr="00F22657">
        <w:rPr>
          <w:rFonts w:ascii="Arial" w:hAnsi="Arial" w:cs="Arial"/>
          <w:color w:val="606060"/>
          <w:sz w:val="18"/>
          <w:szCs w:val="18"/>
        </w:rPr>
        <w:t>Описание статьи из продолжающегося издания (сборника трудов):</w:t>
      </w:r>
    </w:p>
    <w:p w:rsidR="00FC5600" w:rsidRPr="00F22657" w:rsidRDefault="00FC5600" w:rsidP="00FC5600">
      <w:pPr>
        <w:rPr>
          <w:rFonts w:ascii="Arial" w:hAnsi="Arial" w:cs="Arial"/>
          <w:color w:val="606060"/>
          <w:sz w:val="18"/>
          <w:szCs w:val="18"/>
          <w:lang w:val="en-US"/>
        </w:rPr>
      </w:pPr>
      <w:r w:rsidRPr="00F22657">
        <w:rPr>
          <w:rFonts w:ascii="Arial" w:hAnsi="Arial" w:cs="Arial"/>
          <w:color w:val="606060"/>
          <w:sz w:val="18"/>
          <w:szCs w:val="18"/>
          <w:lang w:val="en-US"/>
        </w:rPr>
        <w:t xml:space="preserve">Astakhov M. V., Tagantsev T. V. Eksperimental'noe issledovanie prochnosti soedinenii «stal'-kompozit» [Experimental study of the strength of joints "steel-composite"]. Trudy MGTU «Matematicheskoe modelirovanie slozhnykh tekhnicheskikh sistem» [Proc. of the Bauman MSTU “Mathematical Modeling of Complex Technical Systems”], 2006, no. 593, </w:t>
      </w:r>
    </w:p>
    <w:p w:rsidR="00FC5600" w:rsidRPr="00F22657" w:rsidRDefault="00FC5600" w:rsidP="00FC5600">
      <w:pPr>
        <w:rPr>
          <w:rFonts w:ascii="Arial" w:hAnsi="Arial" w:cs="Arial"/>
          <w:color w:val="606060"/>
          <w:sz w:val="18"/>
          <w:szCs w:val="18"/>
          <w:lang w:val="en-US"/>
        </w:rPr>
      </w:pPr>
      <w:r w:rsidRPr="00F22657">
        <w:rPr>
          <w:rFonts w:ascii="Arial" w:hAnsi="Arial" w:cs="Arial"/>
          <w:color w:val="606060"/>
          <w:sz w:val="18"/>
          <w:szCs w:val="18"/>
          <w:lang w:val="en-US"/>
        </w:rPr>
        <w:t>pp. 125–130.</w:t>
      </w:r>
    </w:p>
    <w:p w:rsidR="00FC5600" w:rsidRPr="00F22657" w:rsidRDefault="00FC5600" w:rsidP="00FC5600">
      <w:pPr>
        <w:rPr>
          <w:rFonts w:ascii="Arial" w:hAnsi="Arial" w:cs="Arial"/>
          <w:color w:val="606060"/>
          <w:sz w:val="18"/>
          <w:szCs w:val="18"/>
          <w:lang w:val="en-US"/>
        </w:rPr>
      </w:pPr>
      <w:r w:rsidRPr="00F22657">
        <w:rPr>
          <w:rFonts w:ascii="Arial" w:hAnsi="Arial" w:cs="Arial"/>
          <w:color w:val="606060"/>
          <w:sz w:val="18"/>
          <w:szCs w:val="18"/>
        </w:rPr>
        <w:t>Описание</w:t>
      </w:r>
      <w:r w:rsidRPr="00F22657">
        <w:rPr>
          <w:rFonts w:ascii="Arial" w:hAnsi="Arial" w:cs="Arial"/>
          <w:color w:val="606060"/>
          <w:sz w:val="18"/>
          <w:szCs w:val="18"/>
          <w:lang w:val="en-US"/>
        </w:rPr>
        <w:t xml:space="preserve"> </w:t>
      </w:r>
      <w:r w:rsidRPr="00F22657">
        <w:rPr>
          <w:rFonts w:ascii="Arial" w:hAnsi="Arial" w:cs="Arial"/>
          <w:color w:val="606060"/>
          <w:sz w:val="18"/>
          <w:szCs w:val="18"/>
        </w:rPr>
        <w:t>материалов</w:t>
      </w:r>
      <w:r w:rsidRPr="00F22657">
        <w:rPr>
          <w:rFonts w:ascii="Arial" w:hAnsi="Arial" w:cs="Arial"/>
          <w:color w:val="606060"/>
          <w:sz w:val="18"/>
          <w:szCs w:val="18"/>
          <w:lang w:val="en-US"/>
        </w:rPr>
        <w:t xml:space="preserve"> </w:t>
      </w:r>
      <w:r w:rsidRPr="00F22657">
        <w:rPr>
          <w:rFonts w:ascii="Arial" w:hAnsi="Arial" w:cs="Arial"/>
          <w:color w:val="606060"/>
          <w:sz w:val="18"/>
          <w:szCs w:val="18"/>
        </w:rPr>
        <w:t>конференций</w:t>
      </w:r>
      <w:r w:rsidRPr="00F22657">
        <w:rPr>
          <w:rFonts w:ascii="Arial" w:hAnsi="Arial" w:cs="Arial"/>
          <w:color w:val="606060"/>
          <w:sz w:val="18"/>
          <w:szCs w:val="18"/>
          <w:lang w:val="en-US"/>
        </w:rPr>
        <w:t>:</w:t>
      </w:r>
    </w:p>
    <w:p w:rsidR="00FC5600" w:rsidRPr="00F22657" w:rsidRDefault="00FC5600" w:rsidP="00FC5600">
      <w:pPr>
        <w:rPr>
          <w:rFonts w:ascii="Arial" w:hAnsi="Arial" w:cs="Arial"/>
          <w:color w:val="606060"/>
          <w:sz w:val="18"/>
          <w:szCs w:val="18"/>
          <w:lang w:val="en-US"/>
        </w:rPr>
      </w:pPr>
      <w:r w:rsidRPr="00F22657">
        <w:rPr>
          <w:rFonts w:ascii="Arial" w:hAnsi="Arial" w:cs="Arial"/>
          <w:color w:val="606060"/>
          <w:sz w:val="18"/>
          <w:szCs w:val="18"/>
          <w:lang w:val="en-US"/>
        </w:rPr>
        <w:t>Usmanov T. S., Gusmanov A. A., Mullagalin I. Z., Muhametshina R. Ju., Chervyakova A. N., Sveshnikov A. V. Osobennosti proektirovaniya razrabotki mestorozhdeniy s primeneniem gidrorazryva plasta [Features of the design of field development with the use of hydraulic fracturing]. Trudy 6 Mezhdunarodnogo Simpoziuma “Novye resursosberegayushchie tekhnologii nedropol'zovaniya i povysheniya neftegazootdachi” [Proc. 6th Int. Symp. “New energy saving subsoil technologies and the increasing of the oil and gas impact”]. Moscow, 2007, pp. 267–272.</w:t>
      </w:r>
    </w:p>
    <w:p w:rsidR="00FC5600" w:rsidRPr="00F22657" w:rsidRDefault="00FC5600" w:rsidP="00FC5600">
      <w:pPr>
        <w:rPr>
          <w:rFonts w:ascii="Arial" w:hAnsi="Arial" w:cs="Arial"/>
          <w:color w:val="606060"/>
          <w:sz w:val="18"/>
          <w:szCs w:val="18"/>
          <w:lang w:val="en-US"/>
        </w:rPr>
      </w:pPr>
      <w:r w:rsidRPr="00F22657">
        <w:rPr>
          <w:rFonts w:ascii="Arial" w:hAnsi="Arial" w:cs="Arial"/>
          <w:color w:val="606060"/>
          <w:sz w:val="18"/>
          <w:szCs w:val="18"/>
        </w:rPr>
        <w:t>Описание</w:t>
      </w:r>
      <w:r w:rsidRPr="00F22657">
        <w:rPr>
          <w:rFonts w:ascii="Arial" w:hAnsi="Arial" w:cs="Arial"/>
          <w:color w:val="606060"/>
          <w:sz w:val="18"/>
          <w:szCs w:val="18"/>
          <w:lang w:val="en-US"/>
        </w:rPr>
        <w:t xml:space="preserve"> </w:t>
      </w:r>
      <w:r w:rsidRPr="00F22657">
        <w:rPr>
          <w:rFonts w:ascii="Arial" w:hAnsi="Arial" w:cs="Arial"/>
          <w:color w:val="606060"/>
          <w:sz w:val="18"/>
          <w:szCs w:val="18"/>
        </w:rPr>
        <w:t>книги</w:t>
      </w:r>
      <w:r w:rsidRPr="00F22657">
        <w:rPr>
          <w:rFonts w:ascii="Arial" w:hAnsi="Arial" w:cs="Arial"/>
          <w:color w:val="606060"/>
          <w:sz w:val="18"/>
          <w:szCs w:val="18"/>
          <w:lang w:val="en-US"/>
        </w:rPr>
        <w:t xml:space="preserve"> (</w:t>
      </w:r>
      <w:r w:rsidRPr="00F22657">
        <w:rPr>
          <w:rFonts w:ascii="Arial" w:hAnsi="Arial" w:cs="Arial"/>
          <w:color w:val="606060"/>
          <w:sz w:val="18"/>
          <w:szCs w:val="18"/>
        </w:rPr>
        <w:t>монографии</w:t>
      </w:r>
      <w:r w:rsidRPr="00F22657">
        <w:rPr>
          <w:rFonts w:ascii="Arial" w:hAnsi="Arial" w:cs="Arial"/>
          <w:color w:val="606060"/>
          <w:sz w:val="18"/>
          <w:szCs w:val="18"/>
          <w:lang w:val="en-US"/>
        </w:rPr>
        <w:t xml:space="preserve">, </w:t>
      </w:r>
      <w:r w:rsidRPr="00F22657">
        <w:rPr>
          <w:rFonts w:ascii="Arial" w:hAnsi="Arial" w:cs="Arial"/>
          <w:color w:val="606060"/>
          <w:sz w:val="18"/>
          <w:szCs w:val="18"/>
        </w:rPr>
        <w:t>сборники</w:t>
      </w:r>
      <w:r w:rsidRPr="00F22657">
        <w:rPr>
          <w:rFonts w:ascii="Arial" w:hAnsi="Arial" w:cs="Arial"/>
          <w:color w:val="606060"/>
          <w:sz w:val="18"/>
          <w:szCs w:val="18"/>
          <w:lang w:val="en-US"/>
        </w:rPr>
        <w:t>):</w:t>
      </w:r>
    </w:p>
    <w:p w:rsidR="00FC5600" w:rsidRPr="00F22657" w:rsidRDefault="00FC5600" w:rsidP="00FC5600">
      <w:pPr>
        <w:rPr>
          <w:rFonts w:ascii="Arial" w:hAnsi="Arial" w:cs="Arial"/>
          <w:color w:val="606060"/>
          <w:sz w:val="18"/>
          <w:szCs w:val="18"/>
          <w:lang w:val="en-US"/>
        </w:rPr>
      </w:pPr>
      <w:r w:rsidRPr="00F22657">
        <w:rPr>
          <w:rFonts w:ascii="Arial" w:hAnsi="Arial" w:cs="Arial"/>
          <w:color w:val="606060"/>
          <w:sz w:val="18"/>
          <w:szCs w:val="18"/>
          <w:lang w:val="en-US"/>
        </w:rPr>
        <w:t>Izvekov V. I., Serikhin N. A., Abramov A. I. Proektirovanie turbogeneratorov [Design of turbo-generators]. Moscow, MEI Publ., 2005, 440 p.</w:t>
      </w:r>
    </w:p>
    <w:p w:rsidR="00FC5600" w:rsidRPr="00F22657" w:rsidRDefault="00FC5600" w:rsidP="00FC5600">
      <w:pPr>
        <w:rPr>
          <w:rFonts w:ascii="Arial" w:hAnsi="Arial" w:cs="Arial"/>
          <w:color w:val="606060"/>
          <w:sz w:val="18"/>
          <w:szCs w:val="18"/>
          <w:lang w:val="en-US"/>
        </w:rPr>
      </w:pPr>
      <w:r w:rsidRPr="00F22657">
        <w:rPr>
          <w:rFonts w:ascii="Arial" w:hAnsi="Arial" w:cs="Arial"/>
          <w:color w:val="606060"/>
          <w:sz w:val="18"/>
          <w:szCs w:val="18"/>
        </w:rPr>
        <w:t>Описание</w:t>
      </w:r>
      <w:r w:rsidRPr="00F22657">
        <w:rPr>
          <w:rFonts w:ascii="Arial" w:hAnsi="Arial" w:cs="Arial"/>
          <w:color w:val="606060"/>
          <w:sz w:val="18"/>
          <w:szCs w:val="18"/>
          <w:lang w:val="en-US"/>
        </w:rPr>
        <w:t xml:space="preserve"> </w:t>
      </w:r>
      <w:r w:rsidRPr="00F22657">
        <w:rPr>
          <w:rFonts w:ascii="Arial" w:hAnsi="Arial" w:cs="Arial"/>
          <w:color w:val="606060"/>
          <w:sz w:val="18"/>
          <w:szCs w:val="18"/>
        </w:rPr>
        <w:t>Интернет</w:t>
      </w:r>
      <w:r w:rsidRPr="00F22657">
        <w:rPr>
          <w:rFonts w:ascii="Arial" w:hAnsi="Arial" w:cs="Arial"/>
          <w:color w:val="606060"/>
          <w:sz w:val="18"/>
          <w:szCs w:val="18"/>
          <w:lang w:val="en-US"/>
        </w:rPr>
        <w:t>-</w:t>
      </w:r>
      <w:r w:rsidRPr="00F22657">
        <w:rPr>
          <w:rFonts w:ascii="Arial" w:hAnsi="Arial" w:cs="Arial"/>
          <w:color w:val="606060"/>
          <w:sz w:val="18"/>
          <w:szCs w:val="18"/>
        </w:rPr>
        <w:t>ресурса</w:t>
      </w:r>
      <w:r w:rsidRPr="00F22657">
        <w:rPr>
          <w:rFonts w:ascii="Arial" w:hAnsi="Arial" w:cs="Arial"/>
          <w:color w:val="606060"/>
          <w:sz w:val="18"/>
          <w:szCs w:val="18"/>
          <w:lang w:val="en-US"/>
        </w:rPr>
        <w:t>:</w:t>
      </w:r>
    </w:p>
    <w:p w:rsidR="00FC5600" w:rsidRPr="00F22657" w:rsidRDefault="00FC5600" w:rsidP="00FC5600">
      <w:pPr>
        <w:rPr>
          <w:rFonts w:ascii="Arial" w:hAnsi="Arial" w:cs="Arial"/>
          <w:color w:val="606060"/>
          <w:sz w:val="18"/>
          <w:szCs w:val="18"/>
          <w:lang w:val="en-US"/>
        </w:rPr>
      </w:pPr>
      <w:r w:rsidRPr="00F22657">
        <w:rPr>
          <w:rFonts w:ascii="Arial" w:hAnsi="Arial" w:cs="Arial"/>
          <w:color w:val="606060"/>
          <w:sz w:val="18"/>
          <w:szCs w:val="18"/>
          <w:lang w:val="en-US"/>
        </w:rPr>
        <w:t>APA Style (2011). Available at: http://www.apastyle.org/apa-style-help.aspx (accessed 5 February 2011).</w:t>
      </w:r>
    </w:p>
    <w:p w:rsidR="00FC5600" w:rsidRPr="00F22657" w:rsidRDefault="00FC5600" w:rsidP="00FC5600">
      <w:pPr>
        <w:rPr>
          <w:rFonts w:ascii="Arial" w:hAnsi="Arial" w:cs="Arial"/>
          <w:color w:val="606060"/>
          <w:sz w:val="18"/>
          <w:szCs w:val="18"/>
          <w:lang w:val="en-US"/>
        </w:rPr>
      </w:pPr>
      <w:r w:rsidRPr="00F22657">
        <w:rPr>
          <w:rFonts w:ascii="Arial" w:hAnsi="Arial" w:cs="Arial"/>
          <w:color w:val="606060"/>
          <w:sz w:val="18"/>
          <w:szCs w:val="18"/>
          <w:lang w:val="en-US"/>
        </w:rPr>
        <w:t>Pravila Tsitirovaniya Istochnikov (Rules for the Citing of Sources) Available at: http://www.scribd.com/doc/1034528/ (accessed 7 February 2011)</w:t>
      </w:r>
    </w:p>
    <w:p w:rsidR="00FC5600" w:rsidRPr="00F22657" w:rsidRDefault="00FC5600" w:rsidP="00FC5600">
      <w:pPr>
        <w:rPr>
          <w:rFonts w:ascii="Arial" w:hAnsi="Arial" w:cs="Arial"/>
          <w:color w:val="606060"/>
          <w:sz w:val="18"/>
          <w:szCs w:val="18"/>
        </w:rPr>
      </w:pPr>
      <w:r w:rsidRPr="00F22657">
        <w:rPr>
          <w:rFonts w:ascii="Arial" w:hAnsi="Arial" w:cs="Arial"/>
          <w:color w:val="606060"/>
          <w:sz w:val="18"/>
          <w:szCs w:val="18"/>
        </w:rPr>
        <w:lastRenderedPageBreak/>
        <w:t>Описание диссертации или автореферата диссертации:</w:t>
      </w:r>
    </w:p>
    <w:p w:rsidR="00FC5600" w:rsidRPr="00F22657" w:rsidRDefault="00FC5600" w:rsidP="00FC5600">
      <w:pPr>
        <w:rPr>
          <w:rFonts w:ascii="Arial" w:hAnsi="Arial" w:cs="Arial"/>
          <w:color w:val="606060"/>
          <w:sz w:val="18"/>
          <w:szCs w:val="18"/>
          <w:lang w:val="en-US"/>
        </w:rPr>
      </w:pPr>
      <w:r w:rsidRPr="00F22657">
        <w:rPr>
          <w:rFonts w:ascii="Arial" w:hAnsi="Arial" w:cs="Arial"/>
          <w:color w:val="606060"/>
          <w:sz w:val="18"/>
          <w:szCs w:val="18"/>
          <w:lang w:val="en-US"/>
        </w:rPr>
        <w:t>Semenov V. I. Matematicheskoe modelirovanie plazmy v sisteme kompaktnyi tor. Diss. dokt. fiz.-mat. nauk [Mathematical modeling of the plasma in the compact torus. Dr. phys. and math. sci. diss.]. Moscow, 2003. 272 p.</w:t>
      </w:r>
    </w:p>
    <w:p w:rsidR="00FC5600" w:rsidRPr="00F22657" w:rsidRDefault="00FC5600" w:rsidP="00FC5600">
      <w:pPr>
        <w:rPr>
          <w:rFonts w:ascii="Arial" w:hAnsi="Arial" w:cs="Arial"/>
          <w:color w:val="606060"/>
          <w:sz w:val="18"/>
          <w:szCs w:val="18"/>
          <w:lang w:val="en-US"/>
        </w:rPr>
      </w:pPr>
      <w:r w:rsidRPr="00F22657">
        <w:rPr>
          <w:rFonts w:ascii="Arial" w:hAnsi="Arial" w:cs="Arial"/>
          <w:color w:val="606060"/>
          <w:sz w:val="18"/>
          <w:szCs w:val="18"/>
        </w:rPr>
        <w:t>Описание</w:t>
      </w:r>
      <w:r w:rsidRPr="00F22657">
        <w:rPr>
          <w:rFonts w:ascii="Arial" w:hAnsi="Arial" w:cs="Arial"/>
          <w:color w:val="606060"/>
          <w:sz w:val="18"/>
          <w:szCs w:val="18"/>
          <w:lang w:val="en-US"/>
        </w:rPr>
        <w:t xml:space="preserve"> </w:t>
      </w:r>
      <w:r w:rsidRPr="00F22657">
        <w:rPr>
          <w:rFonts w:ascii="Arial" w:hAnsi="Arial" w:cs="Arial"/>
          <w:color w:val="606060"/>
          <w:sz w:val="18"/>
          <w:szCs w:val="18"/>
        </w:rPr>
        <w:t>ГОСТа</w:t>
      </w:r>
      <w:r w:rsidRPr="00F22657">
        <w:rPr>
          <w:rFonts w:ascii="Arial" w:hAnsi="Arial" w:cs="Arial"/>
          <w:color w:val="606060"/>
          <w:sz w:val="18"/>
          <w:szCs w:val="18"/>
          <w:lang w:val="en-US"/>
        </w:rPr>
        <w:t>:</w:t>
      </w:r>
    </w:p>
    <w:p w:rsidR="00FC5600" w:rsidRPr="00F22657" w:rsidRDefault="00FC5600" w:rsidP="00FC5600">
      <w:pPr>
        <w:rPr>
          <w:rFonts w:ascii="Arial" w:hAnsi="Arial" w:cs="Arial"/>
          <w:color w:val="606060"/>
          <w:sz w:val="18"/>
          <w:szCs w:val="18"/>
          <w:lang w:val="en-US"/>
        </w:rPr>
      </w:pPr>
      <w:r w:rsidRPr="00F22657">
        <w:rPr>
          <w:rFonts w:ascii="Arial" w:hAnsi="Arial" w:cs="Arial"/>
          <w:color w:val="606060"/>
          <w:sz w:val="18"/>
          <w:szCs w:val="18"/>
          <w:lang w:val="en-US"/>
        </w:rPr>
        <w:t>GOST 8.586.5–2005. Metodika vypolneniia izmerenii. Izmerenie raskhoda i kolichestva zhidkostei i gazov s pomoshch'iu standartnykh suzhaiushchikh ustroistv [State Standard 8.586.5–2005. Method of measurement. Measurement of flow rate and volume of liquids and gases by means of orifice devices]. Moscow, Standartinform Publ., 2007. 10 p.</w:t>
      </w:r>
    </w:p>
    <w:p w:rsidR="00FC5600" w:rsidRPr="00F22657" w:rsidRDefault="00FC5600" w:rsidP="00FC5600">
      <w:pPr>
        <w:rPr>
          <w:rFonts w:ascii="Arial" w:hAnsi="Arial" w:cs="Arial"/>
          <w:color w:val="606060"/>
          <w:sz w:val="18"/>
          <w:szCs w:val="18"/>
          <w:lang w:val="en-US"/>
        </w:rPr>
      </w:pPr>
      <w:r w:rsidRPr="00F22657">
        <w:rPr>
          <w:rFonts w:ascii="Arial" w:hAnsi="Arial" w:cs="Arial"/>
          <w:color w:val="606060"/>
          <w:sz w:val="18"/>
          <w:szCs w:val="18"/>
        </w:rPr>
        <w:t>Описание</w:t>
      </w:r>
      <w:r w:rsidRPr="00F22657">
        <w:rPr>
          <w:rFonts w:ascii="Arial" w:hAnsi="Arial" w:cs="Arial"/>
          <w:color w:val="606060"/>
          <w:sz w:val="18"/>
          <w:szCs w:val="18"/>
          <w:lang w:val="en-US"/>
        </w:rPr>
        <w:t xml:space="preserve"> </w:t>
      </w:r>
      <w:r w:rsidRPr="00F22657">
        <w:rPr>
          <w:rFonts w:ascii="Arial" w:hAnsi="Arial" w:cs="Arial"/>
          <w:color w:val="606060"/>
          <w:sz w:val="18"/>
          <w:szCs w:val="18"/>
        </w:rPr>
        <w:t>патента</w:t>
      </w:r>
      <w:r w:rsidRPr="00F22657">
        <w:rPr>
          <w:rFonts w:ascii="Arial" w:hAnsi="Arial" w:cs="Arial"/>
          <w:color w:val="606060"/>
          <w:sz w:val="18"/>
          <w:szCs w:val="18"/>
          <w:lang w:val="en-US"/>
        </w:rPr>
        <w:t>:</w:t>
      </w:r>
    </w:p>
    <w:p w:rsidR="00FC5600" w:rsidRPr="00F22657" w:rsidRDefault="00FC5600" w:rsidP="00FC5600">
      <w:pPr>
        <w:rPr>
          <w:rFonts w:ascii="Arial" w:hAnsi="Arial" w:cs="Arial"/>
          <w:color w:val="606060"/>
          <w:sz w:val="18"/>
          <w:szCs w:val="18"/>
        </w:rPr>
      </w:pPr>
      <w:r w:rsidRPr="00F22657">
        <w:rPr>
          <w:rFonts w:ascii="Arial" w:hAnsi="Arial" w:cs="Arial"/>
          <w:color w:val="606060"/>
          <w:sz w:val="18"/>
          <w:szCs w:val="18"/>
          <w:lang w:val="en-US"/>
        </w:rPr>
        <w:t xml:space="preserve">Palkin M. V., e.a. Sposob orientirovaniia po krenu letatel'nogo apparata s opticheskoi golovkoi samonavedeniia [The way to orient on the roll of aircraft with optical homing head]. </w:t>
      </w:r>
      <w:r w:rsidRPr="00F22657">
        <w:rPr>
          <w:rFonts w:ascii="Arial" w:hAnsi="Arial" w:cs="Arial"/>
          <w:color w:val="606060"/>
          <w:sz w:val="18"/>
          <w:szCs w:val="18"/>
        </w:rPr>
        <w:t>Patent RF, no. 2280590, 2006.</w:t>
      </w:r>
    </w:p>
    <w:p w:rsidR="00FC5600" w:rsidRPr="00F22657" w:rsidRDefault="00FC5600" w:rsidP="00FC5600">
      <w:pPr>
        <w:rPr>
          <w:rFonts w:ascii="Arial" w:hAnsi="Arial" w:cs="Arial"/>
          <w:color w:val="606060"/>
          <w:sz w:val="18"/>
          <w:szCs w:val="18"/>
        </w:rPr>
      </w:pPr>
      <w:r w:rsidRPr="00F22657">
        <w:rPr>
          <w:rFonts w:ascii="Arial" w:hAnsi="Arial" w:cs="Arial"/>
          <w:color w:val="606060"/>
          <w:sz w:val="18"/>
          <w:szCs w:val="18"/>
        </w:rPr>
        <w:t xml:space="preserve">7. Если присутствует информация о финансировании (поддержке грантами проектов и т. п.), ее следует давать </w:t>
      </w:r>
      <w:r w:rsidR="00E46B17">
        <w:rPr>
          <w:rFonts w:ascii="Arial" w:hAnsi="Arial" w:cs="Arial"/>
          <w:color w:val="606060"/>
          <w:sz w:val="18"/>
          <w:szCs w:val="18"/>
        </w:rPr>
        <w:t>в конце заключения.</w:t>
      </w:r>
    </w:p>
    <w:p w:rsidR="00FC5600" w:rsidRPr="00F22657" w:rsidRDefault="00FC5600" w:rsidP="00FC5600">
      <w:pPr>
        <w:rPr>
          <w:rFonts w:ascii="Arial" w:hAnsi="Arial" w:cs="Arial"/>
          <w:color w:val="606060"/>
          <w:sz w:val="18"/>
          <w:szCs w:val="18"/>
        </w:rPr>
      </w:pPr>
      <w:r w:rsidRPr="00F22657">
        <w:rPr>
          <w:rFonts w:ascii="Arial" w:hAnsi="Arial" w:cs="Arial"/>
          <w:color w:val="606060"/>
          <w:sz w:val="18"/>
          <w:szCs w:val="18"/>
        </w:rPr>
        <w:t>V.. Собственным редактором формул версий Microsoft Office 2007 и выше пользоваться нельзя, так как в редакционно-издательском процессе он не поддерживается. Вставку символов выполнять через меню «Вставка\Символ». Выключку вверх и вниз (С2, С4) выполнять через меню «Формат\Шрифт\Верхний индекс», «Формат\Шрифт\Нижний индекс». Латинские буквы необходимо набирать курсивом, греческие – прямо (для набора греческих символов следует пользоваться гарнитурой Symbol). Обозначения математических функций (lim, sup, In, sin, Re, Im и т. п.), символы химических элементов (N, C1) также набираются прямым шрифтом.</w:t>
      </w:r>
    </w:p>
    <w:p w:rsidR="00FC5600" w:rsidRDefault="00FC5600" w:rsidP="00FC5600">
      <w:pPr>
        <w:rPr>
          <w:rFonts w:ascii="Arial" w:hAnsi="Arial" w:cs="Arial"/>
          <w:color w:val="606060"/>
          <w:sz w:val="18"/>
          <w:szCs w:val="18"/>
        </w:rPr>
      </w:pPr>
      <w:r w:rsidRPr="00F22657">
        <w:rPr>
          <w:rFonts w:ascii="Arial" w:hAnsi="Arial" w:cs="Arial"/>
          <w:color w:val="606060"/>
          <w:sz w:val="18"/>
          <w:szCs w:val="18"/>
        </w:rPr>
        <w:t xml:space="preserve">VI. Черно-белые и цветные рисунки вставляются в текст статьи (Word), а также даются в виде отдельных файлов в формате tif (600 точек на дюйм). Текст на рисунках набирается основной гарнитурой, причем начертание символов (греческое, латинское) должно соответствовать их начертанию в тексте. Размер кегля соизмерим с размером рисунка (желательно 8 пунктов). </w:t>
      </w:r>
    </w:p>
    <w:p w:rsidR="00BE21CB" w:rsidRPr="005B7484" w:rsidRDefault="00BE21CB" w:rsidP="00BE21CB">
      <w:pPr>
        <w:spacing w:after="0"/>
        <w:ind w:firstLine="567"/>
        <w:rPr>
          <w:rFonts w:eastAsia="Calibri"/>
          <w:color w:val="000000"/>
          <w:sz w:val="24"/>
          <w:szCs w:val="24"/>
          <w:u w:val="single"/>
        </w:rPr>
      </w:pPr>
    </w:p>
    <w:p w:rsidR="00AB33D3" w:rsidRDefault="00AB33D3"/>
    <w:sectPr w:rsidR="00AB33D3" w:rsidSect="00F671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117" w:rsidRDefault="00066117" w:rsidP="00F67125">
      <w:pPr>
        <w:spacing w:after="0"/>
      </w:pPr>
      <w:r>
        <w:separator/>
      </w:r>
    </w:p>
  </w:endnote>
  <w:endnote w:type="continuationSeparator" w:id="0">
    <w:p w:rsidR="00066117" w:rsidRDefault="00066117" w:rsidP="00F6712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117" w:rsidRDefault="00066117" w:rsidP="00F67125">
      <w:pPr>
        <w:spacing w:after="0"/>
      </w:pPr>
      <w:r>
        <w:separator/>
      </w:r>
    </w:p>
  </w:footnote>
  <w:footnote w:type="continuationSeparator" w:id="0">
    <w:p w:rsidR="00066117" w:rsidRDefault="00066117" w:rsidP="00F6712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CB" w:rsidRDefault="00BE21CB" w:rsidP="00F67125">
    <w:r>
      <w:rPr>
        <w:rFonts w:ascii="Arial" w:hAnsi="Arial" w:cs="Arial"/>
      </w:rPr>
      <w:t>Приложение 1. Шаблон оформления тезисов для молодых ученых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CB" w:rsidRDefault="00BE21CB" w:rsidP="00F67125">
    <w:r>
      <w:rPr>
        <w:rFonts w:ascii="Arial" w:hAnsi="Arial" w:cs="Arial"/>
      </w:rPr>
      <w:t xml:space="preserve">Приложение 2. </w:t>
    </w:r>
    <w:r w:rsidR="00FC5600">
      <w:rPr>
        <w:rFonts w:ascii="Arial" w:hAnsi="Arial" w:cs="Arial"/>
      </w:rPr>
      <w:t>Шаблон оформления тезисов для учащихся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125"/>
    <w:rsid w:val="00066117"/>
    <w:rsid w:val="0009631B"/>
    <w:rsid w:val="00197F61"/>
    <w:rsid w:val="001C271F"/>
    <w:rsid w:val="00241C7C"/>
    <w:rsid w:val="00754E28"/>
    <w:rsid w:val="008B32BE"/>
    <w:rsid w:val="009A45B4"/>
    <w:rsid w:val="00AB33D3"/>
    <w:rsid w:val="00AB3796"/>
    <w:rsid w:val="00B91E4A"/>
    <w:rsid w:val="00BE21CB"/>
    <w:rsid w:val="00C340E1"/>
    <w:rsid w:val="00C9563B"/>
    <w:rsid w:val="00CA1B0B"/>
    <w:rsid w:val="00E46B17"/>
    <w:rsid w:val="00F2208D"/>
    <w:rsid w:val="00F67125"/>
    <w:rsid w:val="00FC5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25"/>
    <w:pPr>
      <w:spacing w:after="120" w:line="240" w:lineRule="auto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12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F67125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67125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7125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3796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37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butskavets.u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butskavets.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7C4C5-6096-4F81-8EC8-4B5094BE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3169</Words>
  <Characters>18066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2019-04-18T11:55:00Z</dcterms:created>
  <dcterms:modified xsi:type="dcterms:W3CDTF">2020-04-01T07:20:00Z</dcterms:modified>
</cp:coreProperties>
</file>