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25" w:rsidRPr="00D830AD" w:rsidRDefault="00F67125" w:rsidP="00F67125">
      <w:pPr>
        <w:jc w:val="center"/>
        <w:rPr>
          <w:bCs/>
          <w:sz w:val="24"/>
          <w:szCs w:val="24"/>
          <w:u w:val="single"/>
        </w:rPr>
      </w:pPr>
      <w:r w:rsidRPr="00D830AD">
        <w:rPr>
          <w:bCs/>
          <w:sz w:val="24"/>
          <w:szCs w:val="24"/>
          <w:u w:val="single"/>
        </w:rPr>
        <w:t>Бутьковец В.В.</w:t>
      </w:r>
    </w:p>
    <w:p w:rsidR="00F67125" w:rsidRPr="00D830AD" w:rsidRDefault="00F67125" w:rsidP="00F67125">
      <w:pPr>
        <w:spacing w:after="0"/>
        <w:jc w:val="center"/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 xml:space="preserve">ЛЕСОВОЗОБНОВИТЕЛЬНЫЙ ПОТЕНЦИАЛ БЕЛОРУССКОЙ ПОПУЛЯЦИИ </w:t>
      </w:r>
      <w:r w:rsidRPr="00D830AD">
        <w:rPr>
          <w:b/>
          <w:i/>
          <w:sz w:val="24"/>
          <w:szCs w:val="24"/>
          <w:lang w:val="en-US"/>
        </w:rPr>
        <w:t>PICEA</w:t>
      </w:r>
      <w:r w:rsidRPr="00D830AD">
        <w:rPr>
          <w:b/>
          <w:i/>
          <w:sz w:val="24"/>
          <w:szCs w:val="24"/>
        </w:rPr>
        <w:t xml:space="preserve"> </w:t>
      </w:r>
      <w:r w:rsidRPr="00D830AD">
        <w:rPr>
          <w:b/>
          <w:i/>
          <w:sz w:val="24"/>
          <w:szCs w:val="24"/>
          <w:lang w:val="en-US"/>
        </w:rPr>
        <w:t>ABIES</w:t>
      </w:r>
      <w:r w:rsidRPr="00D830AD">
        <w:rPr>
          <w:b/>
          <w:sz w:val="24"/>
          <w:szCs w:val="24"/>
        </w:rPr>
        <w:t xml:space="preserve"> НА ПРИМЕРЕ НАСАЖДЕНИЙ РОССОНСКОГО И БЕГОМЛЬСКОГО ЛЕСХОЗОВ ВИТЕБСКОГО ГПЛХО</w:t>
      </w:r>
    </w:p>
    <w:p w:rsidR="00F67125" w:rsidRPr="00D830AD" w:rsidRDefault="00F67125" w:rsidP="00F67125">
      <w:pPr>
        <w:spacing w:after="0" w:line="360" w:lineRule="exact"/>
        <w:ind w:firstLine="567"/>
        <w:contextualSpacing/>
        <w:jc w:val="center"/>
        <w:rPr>
          <w:rFonts w:eastAsia="Calibri"/>
          <w:i/>
          <w:sz w:val="24"/>
          <w:szCs w:val="22"/>
          <w:lang w:eastAsia="en-US"/>
        </w:rPr>
      </w:pPr>
      <w:r w:rsidRPr="00D830AD">
        <w:rPr>
          <w:rFonts w:eastAsia="Calibri"/>
          <w:i/>
          <w:sz w:val="24"/>
          <w:szCs w:val="22"/>
          <w:lang w:eastAsia="en-US"/>
        </w:rPr>
        <w:t>ГНУ «Институт леса НАН Беларуси», 246001, г. Гомель, ул. Пролетарская 71, Беларусь</w:t>
      </w:r>
    </w:p>
    <w:p w:rsidR="00F67125" w:rsidRPr="00F67125" w:rsidRDefault="00F67125" w:rsidP="00F67125">
      <w:pPr>
        <w:spacing w:after="0" w:line="360" w:lineRule="exact"/>
        <w:ind w:firstLine="567"/>
        <w:contextualSpacing/>
        <w:jc w:val="center"/>
        <w:rPr>
          <w:rFonts w:eastAsia="Calibri"/>
          <w:i/>
          <w:sz w:val="24"/>
          <w:szCs w:val="22"/>
          <w:lang w:eastAsia="en-US"/>
        </w:rPr>
      </w:pPr>
      <w:r w:rsidRPr="00D830AD">
        <w:rPr>
          <w:rFonts w:eastAsia="Calibri"/>
          <w:i/>
          <w:sz w:val="24"/>
          <w:szCs w:val="22"/>
          <w:lang w:val="en-US" w:eastAsia="en-US"/>
        </w:rPr>
        <w:t>e</w:t>
      </w:r>
      <w:r w:rsidRPr="00F67125">
        <w:rPr>
          <w:rFonts w:eastAsia="Calibri"/>
          <w:i/>
          <w:sz w:val="24"/>
          <w:szCs w:val="22"/>
          <w:lang w:eastAsia="en-US"/>
        </w:rPr>
        <w:t>-</w:t>
      </w:r>
      <w:r w:rsidRPr="00D830AD">
        <w:rPr>
          <w:rFonts w:eastAsia="Calibri"/>
          <w:i/>
          <w:sz w:val="24"/>
          <w:szCs w:val="22"/>
          <w:lang w:val="en-US" w:eastAsia="en-US"/>
        </w:rPr>
        <w:t>mail</w:t>
      </w:r>
      <w:r w:rsidRPr="00F67125">
        <w:rPr>
          <w:rFonts w:eastAsia="Calibri"/>
          <w:i/>
          <w:sz w:val="24"/>
          <w:szCs w:val="22"/>
          <w:lang w:eastAsia="en-US"/>
        </w:rPr>
        <w:t xml:space="preserve">: </w:t>
      </w:r>
      <w:hyperlink r:id="rId7" w:history="1"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butskavets</w:t>
        </w:r>
        <w:r w:rsidRPr="00F67125">
          <w:rPr>
            <w:rFonts w:eastAsia="Calibri"/>
            <w:i/>
            <w:sz w:val="24"/>
            <w:szCs w:val="22"/>
            <w:u w:val="single"/>
            <w:lang w:eastAsia="en-US"/>
          </w:rPr>
          <w:t>.</w:t>
        </w:r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u</w:t>
        </w:r>
        <w:r w:rsidRPr="00F67125">
          <w:rPr>
            <w:rFonts w:eastAsia="Calibri"/>
            <w:i/>
            <w:sz w:val="24"/>
            <w:szCs w:val="22"/>
            <w:u w:val="single"/>
            <w:lang w:eastAsia="en-US"/>
          </w:rPr>
          <w:t>@</w:t>
        </w:r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mail</w:t>
        </w:r>
        <w:r w:rsidRPr="00F67125">
          <w:rPr>
            <w:rFonts w:eastAsia="Calibri"/>
            <w:i/>
            <w:sz w:val="24"/>
            <w:szCs w:val="22"/>
            <w:u w:val="single"/>
            <w:lang w:eastAsia="en-US"/>
          </w:rPr>
          <w:t>.</w:t>
        </w:r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ru</w:t>
        </w:r>
      </w:hyperlink>
    </w:p>
    <w:p w:rsidR="00F67125" w:rsidRPr="00F67125" w:rsidRDefault="00F67125" w:rsidP="00F67125">
      <w:pPr>
        <w:spacing w:after="0" w:line="360" w:lineRule="exact"/>
        <w:ind w:firstLine="567"/>
        <w:contextualSpacing/>
        <w:rPr>
          <w:rFonts w:eastAsia="Calibri"/>
          <w:sz w:val="24"/>
          <w:szCs w:val="22"/>
          <w:lang w:eastAsia="en-US"/>
        </w:rPr>
      </w:pPr>
    </w:p>
    <w:p w:rsidR="00F67125" w:rsidRPr="00D830AD" w:rsidRDefault="00F67125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Введение.</w:t>
      </w:r>
      <w:r w:rsidRPr="00D830AD">
        <w:rPr>
          <w:rFonts w:eastAsia="Calibri"/>
          <w:sz w:val="24"/>
          <w:szCs w:val="22"/>
          <w:lang w:eastAsia="en-US"/>
        </w:rPr>
        <w:t xml:space="preserve"> Формация еловых лесов в Беларуси является зональной и в направлении с севера на юг претерпевает не только количественные, но и определенные качественные изменения. В связи с изменяющимися погодно-климатическими условиями и увеличением антропогенной нагрузки ельники испытывают сильное негативное воздействие, приводящее к сокращению еловых древостоев. Учеными-лесоводами отмечается, что еловые насаждения, образовавшиеся естественным путем, имеют ряд преимуществ над искусственно создаваемыми лесными культурами. Успешность формирования елью материнских древостоев обеспечивается уровнем её лесовозобновительного потенциала [1].</w:t>
      </w:r>
    </w:p>
    <w:p w:rsidR="00F67125" w:rsidRPr="00D830AD" w:rsidRDefault="00F67125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Материалы и методы.</w:t>
      </w:r>
      <w:r w:rsidRPr="00D830AD">
        <w:rPr>
          <w:rFonts w:eastAsia="Calibri"/>
          <w:sz w:val="24"/>
          <w:szCs w:val="22"/>
          <w:lang w:eastAsia="en-US"/>
        </w:rPr>
        <w:t xml:space="preserve"> В данном исследовании были проанализированы приспевающие, спелые и перестойные насаждения Россонского и Бегомльского лесхозов Витебского ГПЛХО. Анализируемые насаждения произрастают в 12 284 таксационных выделах на площади 43 884,6 га Россонского и в 6 104 выделах на площади 20 806,6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га Бегомльского лесхозов. Таким образом, были охвачены насаждения 12 лесничеств Россонского и 8 лесничество Бегомльского лесхозов.</w:t>
      </w:r>
    </w:p>
    <w:p w:rsidR="00F67125" w:rsidRPr="00D830AD" w:rsidRDefault="00F67125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Результаты и выводы.</w:t>
      </w:r>
      <w:r w:rsidRPr="00D830AD">
        <w:rPr>
          <w:rFonts w:eastAsia="Calibri"/>
          <w:sz w:val="24"/>
          <w:szCs w:val="22"/>
          <w:lang w:eastAsia="en-US"/>
        </w:rPr>
        <w:t xml:space="preserve"> Приспевающие, спелые и перестойные насаждения представлены сосняками (40,9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от общей площади), ельниками (14,1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 и мелколиственными насаждениями (45,0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%). Широколиственные насаждения представлены лишь в одном выделе (6,1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га) Бегомльского лесхоза. Установлено, что под пологом 6 565 насаждений, произрастающих на площади 21 839,9 га (33,8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%), имеется благонадежный подрост основных лесообразующих пород. При этом еловый подрост, способный сформировать в будущем высокопродуктивные еловые насаждения (произрастающий в благоприятных лесорастительных условиях), нами был отмечен на площади 15 538,6 га (24,0 %). Наиболее успешно естественное возобновление ели под пологом древостоев протекает в черничной (53,2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всех древостоев данной группе типов леса), орляковой (51,9 %) и кисличной (42,4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 группах типов леса. По густоте наибольший удельный вес имеет группа подроста с количеством от 2,0 до 3,9 тыс.шт./га (73,1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общего количества подроста) и с количеством более 4,0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тыс.шт./га (15,5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%). Подрост количеством до 2,0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тыс.шт./га представлен лишь в 11,5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случаев.</w:t>
      </w:r>
    </w:p>
    <w:p w:rsidR="00F67125" w:rsidRDefault="00F67125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sz w:val="24"/>
          <w:szCs w:val="22"/>
          <w:lang w:eastAsia="en-US"/>
        </w:rPr>
        <w:t>Вышеуказанное свидетельствует о высоком лесовозобновительном потенциале популяции ели европейской даже в условиях негативных изменений экологических условий. Рациональное проведение лесохозяйственных мероприятий на территории указанных учреждений, посредством проведения несплошных рубок леса и обеспечения сохранения подроста, позволит сохранить площадь еловых насаждений.</w:t>
      </w:r>
    </w:p>
    <w:p w:rsidR="00F67125" w:rsidRPr="00F67125" w:rsidRDefault="00F67125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lastRenderedPageBreak/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</w:p>
    <w:p w:rsidR="00F67125" w:rsidRPr="00F67125" w:rsidRDefault="00F67125" w:rsidP="00F67125">
      <w:pPr>
        <w:spacing w:after="0"/>
        <w:ind w:firstLine="567"/>
        <w:rPr>
          <w:rFonts w:eastAsia="Calibri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>.</w:t>
      </w:r>
    </w:p>
    <w:p w:rsidR="00F67125" w:rsidRPr="00F67125" w:rsidRDefault="00F67125" w:rsidP="00F67125">
      <w:pPr>
        <w:spacing w:after="0"/>
        <w:ind w:firstLine="567"/>
        <w:rPr>
          <w:rFonts w:eastAsia="Calibri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>.</w:t>
      </w:r>
    </w:p>
    <w:p w:rsidR="00F67125" w:rsidRPr="00F67125" w:rsidRDefault="00F67125" w:rsidP="00F67125">
      <w:pPr>
        <w:spacing w:after="0" w:line="360" w:lineRule="exact"/>
        <w:ind w:firstLine="567"/>
        <w:contextualSpacing/>
        <w:rPr>
          <w:rFonts w:eastAsia="Calibri"/>
          <w:b/>
          <w:sz w:val="24"/>
          <w:szCs w:val="22"/>
          <w:lang w:val="en-US"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Литература</w:t>
      </w:r>
    </w:p>
    <w:p w:rsidR="00F67125" w:rsidRPr="00D830AD" w:rsidRDefault="00F67125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sz w:val="24"/>
          <w:szCs w:val="22"/>
          <w:lang w:eastAsia="en-US"/>
        </w:rPr>
        <w:t>1. Рожков, Л. Н. Лесовозобновительный потенциал белорусской популяции Picea abies в современных условиях / Л. Н. Рожков, В. В. Бутьковец // Труды БГТУ. Сер. 1, Лесное хозяйство, природопользование и переработка возобновляемых ресурсов. – Минск : БГТУ, 2017. – № 1 (192). – C. 18</w:t>
      </w:r>
      <w:r>
        <w:rPr>
          <w:rFonts w:eastAsia="Calibri"/>
          <w:sz w:val="24"/>
          <w:szCs w:val="22"/>
          <w:lang w:eastAsia="en-US"/>
        </w:rPr>
        <w:t>–</w:t>
      </w:r>
      <w:r w:rsidRPr="00D830AD">
        <w:rPr>
          <w:rFonts w:eastAsia="Calibri"/>
          <w:sz w:val="24"/>
          <w:szCs w:val="22"/>
          <w:lang w:eastAsia="en-US"/>
        </w:rPr>
        <w:t>22.</w:t>
      </w:r>
    </w:p>
    <w:p w:rsidR="00F67125" w:rsidRPr="005B7484" w:rsidRDefault="00F67125" w:rsidP="00F67125">
      <w:pPr>
        <w:spacing w:after="0"/>
        <w:ind w:firstLine="567"/>
        <w:rPr>
          <w:rFonts w:eastAsia="Calibri"/>
          <w:color w:val="000000"/>
          <w:sz w:val="24"/>
          <w:szCs w:val="24"/>
          <w:u w:val="single"/>
        </w:rPr>
      </w:pPr>
      <w:r w:rsidRPr="00D830AD">
        <w:rPr>
          <w:rFonts w:eastAsia="Calibri"/>
          <w:sz w:val="24"/>
          <w:szCs w:val="22"/>
          <w:lang w:eastAsia="en-US"/>
        </w:rPr>
        <w:t>2. Рожков, Л. Н. Экологически приемлемые способы рубок и возобновления при освоении лесосечного фонда в Беларуси / Л. Н. Рожков, И. Ф. Ерошкина, О. Г. Бельчина // Актуальные проблемы лесного комплекса / Под общ. ред. Е. А. Памфилова. Сб. науч. тр. по итогам междунар. практ. конф. Вып. 39. – Брянск: БГИТА, 2014. – С. 80</w:t>
      </w:r>
      <w:r>
        <w:rPr>
          <w:rFonts w:eastAsia="Calibri"/>
          <w:sz w:val="24"/>
          <w:szCs w:val="22"/>
          <w:lang w:eastAsia="en-US"/>
        </w:rPr>
        <w:t>–</w:t>
      </w:r>
      <w:r w:rsidRPr="00D830AD">
        <w:rPr>
          <w:rFonts w:eastAsia="Calibri"/>
          <w:sz w:val="24"/>
          <w:szCs w:val="22"/>
          <w:lang w:eastAsia="en-US"/>
        </w:rPr>
        <w:t>85.</w:t>
      </w:r>
    </w:p>
    <w:p w:rsidR="00BE21CB" w:rsidRDefault="00BE21CB">
      <w:pPr>
        <w:sectPr w:rsidR="00BE21CB" w:rsidSect="00F6712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21CB" w:rsidRDefault="00BE21CB" w:rsidP="00BE21CB">
      <w:pPr>
        <w:jc w:val="center"/>
        <w:rPr>
          <w:bCs/>
          <w:sz w:val="24"/>
          <w:szCs w:val="24"/>
          <w:u w:val="single"/>
        </w:rPr>
      </w:pPr>
      <w:r w:rsidRPr="00D830AD">
        <w:rPr>
          <w:bCs/>
          <w:sz w:val="24"/>
          <w:szCs w:val="24"/>
          <w:u w:val="single"/>
        </w:rPr>
        <w:lastRenderedPageBreak/>
        <w:t>Бутьковец В.В.</w:t>
      </w:r>
    </w:p>
    <w:p w:rsidR="00BE21CB" w:rsidRPr="00BE21CB" w:rsidRDefault="00BE21CB" w:rsidP="00BE21CB">
      <w:pPr>
        <w:jc w:val="center"/>
        <w:rPr>
          <w:bCs/>
          <w:sz w:val="24"/>
          <w:szCs w:val="24"/>
        </w:rPr>
      </w:pPr>
      <w:r w:rsidRPr="00BE21CB">
        <w:rPr>
          <w:bCs/>
          <w:sz w:val="24"/>
          <w:szCs w:val="24"/>
        </w:rPr>
        <w:t>Научный руководитель: Иванова А.А.</w:t>
      </w:r>
    </w:p>
    <w:p w:rsidR="00BE21CB" w:rsidRPr="00D830AD" w:rsidRDefault="00BE21CB" w:rsidP="00BE21CB">
      <w:pPr>
        <w:spacing w:after="0"/>
        <w:jc w:val="center"/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 xml:space="preserve">ЛЕСОВОЗОБНОВИТЕЛЬНЫЙ ПОТЕНЦИАЛ БЕЛОРУССКОЙ ПОПУЛЯЦИИ </w:t>
      </w:r>
      <w:r w:rsidRPr="00D830AD">
        <w:rPr>
          <w:b/>
          <w:i/>
          <w:sz w:val="24"/>
          <w:szCs w:val="24"/>
          <w:lang w:val="en-US"/>
        </w:rPr>
        <w:t>PICEA</w:t>
      </w:r>
      <w:r w:rsidRPr="00D830AD">
        <w:rPr>
          <w:b/>
          <w:i/>
          <w:sz w:val="24"/>
          <w:szCs w:val="24"/>
        </w:rPr>
        <w:t xml:space="preserve"> </w:t>
      </w:r>
      <w:r w:rsidRPr="00D830AD">
        <w:rPr>
          <w:b/>
          <w:i/>
          <w:sz w:val="24"/>
          <w:szCs w:val="24"/>
          <w:lang w:val="en-US"/>
        </w:rPr>
        <w:t>ABIES</w:t>
      </w:r>
      <w:r w:rsidRPr="00D830AD">
        <w:rPr>
          <w:b/>
          <w:sz w:val="24"/>
          <w:szCs w:val="24"/>
        </w:rPr>
        <w:t xml:space="preserve"> НА ПРИМЕРЕ НАСАЖДЕНИЙ РОССОНСКОГО И БЕГОМЛЬСКОГО ЛЕСХОЗОВ ВИТЕБСКОГО ГПЛХО</w:t>
      </w:r>
    </w:p>
    <w:p w:rsidR="00BE21CB" w:rsidRPr="00F67125" w:rsidRDefault="00BE21CB" w:rsidP="00BE21CB">
      <w:pPr>
        <w:spacing w:after="0" w:line="360" w:lineRule="exact"/>
        <w:ind w:firstLine="567"/>
        <w:contextualSpacing/>
        <w:jc w:val="center"/>
        <w:rPr>
          <w:rFonts w:eastAsia="Calibri"/>
          <w:i/>
          <w:sz w:val="24"/>
          <w:szCs w:val="22"/>
          <w:lang w:eastAsia="en-US"/>
        </w:rPr>
      </w:pPr>
      <w:r w:rsidRPr="00D830AD">
        <w:rPr>
          <w:rFonts w:eastAsia="Calibri"/>
          <w:i/>
          <w:sz w:val="24"/>
          <w:szCs w:val="22"/>
          <w:lang w:eastAsia="en-US"/>
        </w:rPr>
        <w:t>ГНУ «Институт леса НАН Беларуси», 246001, г. Гомель, ул. Пролетарская 71, Беларусь</w:t>
      </w:r>
      <w:r>
        <w:rPr>
          <w:rFonts w:eastAsia="Calibri"/>
          <w:i/>
          <w:sz w:val="24"/>
          <w:szCs w:val="22"/>
          <w:lang w:eastAsia="en-US"/>
        </w:rPr>
        <w:t xml:space="preserve">, </w:t>
      </w:r>
      <w:r w:rsidRPr="00D830AD">
        <w:rPr>
          <w:rFonts w:eastAsia="Calibri"/>
          <w:i/>
          <w:sz w:val="24"/>
          <w:szCs w:val="22"/>
          <w:lang w:val="en-US" w:eastAsia="en-US"/>
        </w:rPr>
        <w:t>e</w:t>
      </w:r>
      <w:r w:rsidRPr="00F67125">
        <w:rPr>
          <w:rFonts w:eastAsia="Calibri"/>
          <w:i/>
          <w:sz w:val="24"/>
          <w:szCs w:val="22"/>
          <w:lang w:eastAsia="en-US"/>
        </w:rPr>
        <w:t>-</w:t>
      </w:r>
      <w:r w:rsidRPr="00D830AD">
        <w:rPr>
          <w:rFonts w:eastAsia="Calibri"/>
          <w:i/>
          <w:sz w:val="24"/>
          <w:szCs w:val="22"/>
          <w:lang w:val="en-US" w:eastAsia="en-US"/>
        </w:rPr>
        <w:t>mail</w:t>
      </w:r>
      <w:r w:rsidRPr="00F67125">
        <w:rPr>
          <w:rFonts w:eastAsia="Calibri"/>
          <w:i/>
          <w:sz w:val="24"/>
          <w:szCs w:val="22"/>
          <w:lang w:eastAsia="en-US"/>
        </w:rPr>
        <w:t xml:space="preserve">: </w:t>
      </w:r>
      <w:hyperlink r:id="rId9" w:history="1"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butskavets</w:t>
        </w:r>
        <w:r w:rsidRPr="00F67125">
          <w:rPr>
            <w:rFonts w:eastAsia="Calibri"/>
            <w:i/>
            <w:sz w:val="24"/>
            <w:szCs w:val="22"/>
            <w:u w:val="single"/>
            <w:lang w:eastAsia="en-US"/>
          </w:rPr>
          <w:t>.</w:t>
        </w:r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u</w:t>
        </w:r>
        <w:r w:rsidRPr="00F67125">
          <w:rPr>
            <w:rFonts w:eastAsia="Calibri"/>
            <w:i/>
            <w:sz w:val="24"/>
            <w:szCs w:val="22"/>
            <w:u w:val="single"/>
            <w:lang w:eastAsia="en-US"/>
          </w:rPr>
          <w:t>@</w:t>
        </w:r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mail</w:t>
        </w:r>
        <w:r w:rsidRPr="00F67125">
          <w:rPr>
            <w:rFonts w:eastAsia="Calibri"/>
            <w:i/>
            <w:sz w:val="24"/>
            <w:szCs w:val="22"/>
            <w:u w:val="single"/>
            <w:lang w:eastAsia="en-US"/>
          </w:rPr>
          <w:t>.</w:t>
        </w:r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ru</w:t>
        </w:r>
      </w:hyperlink>
    </w:p>
    <w:p w:rsidR="00BE21CB" w:rsidRPr="00F67125" w:rsidRDefault="00BE21CB" w:rsidP="00BE21CB">
      <w:pPr>
        <w:spacing w:after="0" w:line="360" w:lineRule="exact"/>
        <w:ind w:firstLine="567"/>
        <w:contextualSpacing/>
        <w:rPr>
          <w:rFonts w:eastAsia="Calibri"/>
          <w:sz w:val="24"/>
          <w:szCs w:val="22"/>
          <w:lang w:eastAsia="en-US"/>
        </w:rPr>
      </w:pP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Введение.</w:t>
      </w:r>
      <w:r w:rsidRPr="00D830AD">
        <w:rPr>
          <w:rFonts w:eastAsia="Calibri"/>
          <w:sz w:val="24"/>
          <w:szCs w:val="22"/>
          <w:lang w:eastAsia="en-US"/>
        </w:rPr>
        <w:t xml:space="preserve"> Формация еловых лесов в Беларуси является зональной и в направлении с севера на юг претерпевает не только количественные, но и определенные качественные изменения. В связи с изменяющимися погодно-климатическими условиями и увеличением антропогенной нагрузки ельники испытывают сильное негативное воздействие, приводящее к сокращению еловых древостоев. Учеными-лесоводами отмечается, что еловые насаждения, образовавшиеся естественным путем, имеют ряд преимуществ над искусственно создаваемыми лесными культурами. Успешность формирования елью материнских древостоев обеспечивается уровнем её лесовозобновительного потенциала [1].</w:t>
      </w: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Материалы и методы.</w:t>
      </w:r>
      <w:r w:rsidRPr="00D830AD">
        <w:rPr>
          <w:rFonts w:eastAsia="Calibri"/>
          <w:sz w:val="24"/>
          <w:szCs w:val="22"/>
          <w:lang w:eastAsia="en-US"/>
        </w:rPr>
        <w:t xml:space="preserve"> В данном исследовании были проанализированы приспевающие, спелые и перестойные насаждения Россонского и Бегомльского лесхозов Витебского ГПЛХО. Анализируемые насаждения произрастают в 12 284 таксационных выделах на площади 43 884,6 га Россонского и в 6 104 выделах на площади 20 806,6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га Бегомльского лесхозов. Таким образом, были охвачены насаждения 12 лесничеств Россонского и 8 лесничество Бегомльского лесхозов.</w:t>
      </w: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Результаты и выводы.</w:t>
      </w:r>
      <w:r w:rsidRPr="00D830AD">
        <w:rPr>
          <w:rFonts w:eastAsia="Calibri"/>
          <w:sz w:val="24"/>
          <w:szCs w:val="22"/>
          <w:lang w:eastAsia="en-US"/>
        </w:rPr>
        <w:t xml:space="preserve"> Приспевающие, спелые и перестойные насаждения представлены сосняками (40,9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от общей площади), ельниками (14,1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 и мелколиственными насаждениями (45,0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%). Широколиственные насаждения представлены лишь в одном выделе (6,1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га) Бегомльского лесхоза. Установлено, что под пологом 6 565 насаждений, произрастающих на площади 21 839,9 га (33,8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%), имеется благонадежный подрост основных лесообразующих пород. При этом еловый подрост, способный сформировать в будущем высокопродуктивные еловые насаждения (произрастающий в благоприятных лесорастительных условиях), нами был отмечен на площади 15 538,6 га (24,0 %). Наиболее успешно естественное возобновление ели под пологом древостоев протекает в черничной (53,2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всех древостоев данной группе типов леса), орляковой (51,9 %) и кисличной (42,4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 группах типов леса. По густоте наибольший удельный вес имеет группа подроста с количеством от 2,0 до 3,9 тыс.шт./га (73,1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общего количества подроста) и с количеством более 4,0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тыс.шт./га (15,5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%). Подрост количеством до 2,0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тыс.шт./га представлен лишь в 11,5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случаев.</w:t>
      </w:r>
    </w:p>
    <w:p w:rsidR="00BE21CB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sz w:val="24"/>
          <w:szCs w:val="22"/>
          <w:lang w:eastAsia="en-US"/>
        </w:rPr>
        <w:t>Вышеуказанное свидетельствует о высоком лесовозобновительном потенциале популяции ели европейской даже в условиях негативных изменений экологических условий. Рациональное проведение лесохозяйственных мероприятий на территории указанных учреждений, посредством проведения несплошных рубок леса и обеспечения сохранения подроста, позволит сохранить площадь еловых насаждений.</w:t>
      </w:r>
    </w:p>
    <w:p w:rsidR="00BE21CB" w:rsidRPr="00F67125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lastRenderedPageBreak/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</w:p>
    <w:p w:rsidR="00BE21CB" w:rsidRPr="00F67125" w:rsidRDefault="00BE21CB" w:rsidP="00BE21CB">
      <w:pPr>
        <w:spacing w:after="0"/>
        <w:ind w:firstLine="567"/>
        <w:rPr>
          <w:rFonts w:eastAsia="Calibri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>.</w:t>
      </w:r>
    </w:p>
    <w:p w:rsidR="00BE21CB" w:rsidRPr="00F67125" w:rsidRDefault="00BE21CB" w:rsidP="00BE21CB">
      <w:pPr>
        <w:spacing w:after="0"/>
        <w:ind w:firstLine="567"/>
        <w:rPr>
          <w:rFonts w:eastAsia="Calibri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>.</w:t>
      </w:r>
    </w:p>
    <w:p w:rsidR="00BE21CB" w:rsidRPr="00BE21CB" w:rsidRDefault="00BE21CB" w:rsidP="00BE21CB">
      <w:pPr>
        <w:spacing w:after="0" w:line="360" w:lineRule="exact"/>
        <w:ind w:firstLine="567"/>
        <w:contextualSpacing/>
        <w:rPr>
          <w:rFonts w:eastAsia="Calibri"/>
          <w:b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Литература</w:t>
      </w: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sz w:val="24"/>
          <w:szCs w:val="22"/>
          <w:lang w:eastAsia="en-US"/>
        </w:rPr>
        <w:t>1. Рожков, Л. Н. Лесовозобновительный потенциал белорусской популяции Picea abies в современных условиях / Л. Н. Рожков, В. В. Бутьковец // Труды БГТУ. Сер. 1, Лесное хозяйство, природопользование и переработка возобновляемых ресурсов. – Минск : БГТУ, 2017. – № 1 (192). – C. 18</w:t>
      </w:r>
      <w:r>
        <w:rPr>
          <w:rFonts w:eastAsia="Calibri"/>
          <w:sz w:val="24"/>
          <w:szCs w:val="22"/>
          <w:lang w:eastAsia="en-US"/>
        </w:rPr>
        <w:t>–</w:t>
      </w:r>
      <w:r w:rsidRPr="00D830AD">
        <w:rPr>
          <w:rFonts w:eastAsia="Calibri"/>
          <w:sz w:val="24"/>
          <w:szCs w:val="22"/>
          <w:lang w:eastAsia="en-US"/>
        </w:rPr>
        <w:t>22.</w:t>
      </w:r>
    </w:p>
    <w:p w:rsidR="00BE21CB" w:rsidRPr="005B7484" w:rsidRDefault="00BE21CB" w:rsidP="00BE21CB">
      <w:pPr>
        <w:spacing w:after="0"/>
        <w:ind w:firstLine="567"/>
        <w:rPr>
          <w:rFonts w:eastAsia="Calibri"/>
          <w:color w:val="000000"/>
          <w:sz w:val="24"/>
          <w:szCs w:val="24"/>
          <w:u w:val="single"/>
        </w:rPr>
      </w:pPr>
      <w:r w:rsidRPr="00D830AD">
        <w:rPr>
          <w:rFonts w:eastAsia="Calibri"/>
          <w:sz w:val="24"/>
          <w:szCs w:val="22"/>
          <w:lang w:eastAsia="en-US"/>
        </w:rPr>
        <w:t>2. Рожков, Л. Н. Экологически приемлемые способы рубок и возобновления при освоении лесосечного фонда в Беларуси / Л. Н. Рожков, И. Ф. Ерошкина, О. Г. Бельчина // Актуальные проблемы лесного комплекса / Под общ. ред. Е. А. Памфилова. Сб. науч. тр. по итогам междунар. практ. конф. Вып. 39. – Брянск: БГИТА, 2014. – С. 80</w:t>
      </w:r>
      <w:r>
        <w:rPr>
          <w:rFonts w:eastAsia="Calibri"/>
          <w:sz w:val="24"/>
          <w:szCs w:val="22"/>
          <w:lang w:eastAsia="en-US"/>
        </w:rPr>
        <w:t>–</w:t>
      </w:r>
      <w:r w:rsidRPr="00D830AD">
        <w:rPr>
          <w:rFonts w:eastAsia="Calibri"/>
          <w:sz w:val="24"/>
          <w:szCs w:val="22"/>
          <w:lang w:eastAsia="en-US"/>
        </w:rPr>
        <w:t>85.</w:t>
      </w:r>
    </w:p>
    <w:p w:rsidR="00AB33D3" w:rsidRDefault="00AB33D3"/>
    <w:sectPr w:rsidR="00AB33D3" w:rsidSect="00F67125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E1" w:rsidRDefault="00C340E1" w:rsidP="00F67125">
      <w:pPr>
        <w:spacing w:after="0"/>
      </w:pPr>
      <w:r>
        <w:separator/>
      </w:r>
    </w:p>
  </w:endnote>
  <w:endnote w:type="continuationSeparator" w:id="0">
    <w:p w:rsidR="00C340E1" w:rsidRDefault="00C340E1" w:rsidP="00F671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E1" w:rsidRDefault="00C340E1" w:rsidP="00F67125">
      <w:pPr>
        <w:spacing w:after="0"/>
      </w:pPr>
      <w:r>
        <w:separator/>
      </w:r>
    </w:p>
  </w:footnote>
  <w:footnote w:type="continuationSeparator" w:id="0">
    <w:p w:rsidR="00C340E1" w:rsidRDefault="00C340E1" w:rsidP="00F671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CB" w:rsidRDefault="00BE21CB" w:rsidP="00F67125">
    <w:r>
      <w:rPr>
        <w:rFonts w:ascii="Arial" w:hAnsi="Arial" w:cs="Arial"/>
      </w:rPr>
      <w:t>Приложение 1. Шаблон оформления тезисов для молодых ученых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CB" w:rsidRDefault="00BE21CB" w:rsidP="00F67125">
    <w:r>
      <w:rPr>
        <w:rFonts w:ascii="Arial" w:hAnsi="Arial" w:cs="Arial"/>
      </w:rPr>
      <w:t>Приложение 2. Шаблон оформления тезисов для школьников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125"/>
    <w:rsid w:val="00197F61"/>
    <w:rsid w:val="00241C7C"/>
    <w:rsid w:val="00AB33D3"/>
    <w:rsid w:val="00BE21CB"/>
    <w:rsid w:val="00C340E1"/>
    <w:rsid w:val="00C9563B"/>
    <w:rsid w:val="00F2208D"/>
    <w:rsid w:val="00F6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25"/>
    <w:pPr>
      <w:spacing w:after="12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12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67125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712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125"/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tskavets.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utskavets.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6019-3365-4FB3-A2C6-B1BE04D9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2019-04-18T11:55:00Z</dcterms:created>
  <dcterms:modified xsi:type="dcterms:W3CDTF">2019-04-18T11:55:00Z</dcterms:modified>
</cp:coreProperties>
</file>