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25" w:rsidRPr="00D830AD" w:rsidRDefault="00F67125" w:rsidP="00F67125">
      <w:pPr>
        <w:jc w:val="center"/>
        <w:rPr>
          <w:bCs/>
          <w:sz w:val="24"/>
          <w:szCs w:val="24"/>
          <w:u w:val="single"/>
        </w:rPr>
      </w:pPr>
      <w:r w:rsidRPr="00D830AD">
        <w:rPr>
          <w:bCs/>
          <w:sz w:val="24"/>
          <w:szCs w:val="24"/>
          <w:u w:val="single"/>
        </w:rPr>
        <w:t>Бутьковец В.В.</w:t>
      </w:r>
    </w:p>
    <w:p w:rsidR="00F67125" w:rsidRPr="00D830AD" w:rsidRDefault="00F67125" w:rsidP="00F67125">
      <w:pPr>
        <w:spacing w:after="0"/>
        <w:jc w:val="center"/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 xml:space="preserve">ЛЕСОВОЗОБНОВИТЕЛЬНЫЙ ПОТЕНЦИАЛ БЕЛОРУССКОЙ ПОПУЛЯЦИИ </w:t>
      </w:r>
      <w:r w:rsidRPr="00D830AD">
        <w:rPr>
          <w:b/>
          <w:i/>
          <w:sz w:val="24"/>
          <w:szCs w:val="24"/>
          <w:lang w:val="en-US"/>
        </w:rPr>
        <w:t>PICEA</w:t>
      </w:r>
      <w:r w:rsidRPr="00D830AD">
        <w:rPr>
          <w:b/>
          <w:i/>
          <w:sz w:val="24"/>
          <w:szCs w:val="24"/>
        </w:rPr>
        <w:t xml:space="preserve"> </w:t>
      </w:r>
      <w:r w:rsidRPr="00D830AD">
        <w:rPr>
          <w:b/>
          <w:i/>
          <w:sz w:val="24"/>
          <w:szCs w:val="24"/>
          <w:lang w:val="en-US"/>
        </w:rPr>
        <w:t>ABIES</w:t>
      </w:r>
      <w:r w:rsidRPr="00D830AD">
        <w:rPr>
          <w:b/>
          <w:sz w:val="24"/>
          <w:szCs w:val="24"/>
        </w:rPr>
        <w:t xml:space="preserve"> НА ПРИМЕРЕ НАСАЖДЕНИЙ РОССОНСКОГО И БЕГОМЛЬСКОГО ЛЕСХОЗОВ ВИТЕБСКОГО ГПЛХО</w:t>
      </w:r>
    </w:p>
    <w:p w:rsidR="00F67125" w:rsidRPr="00D830AD" w:rsidRDefault="00F67125" w:rsidP="00F67125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eastAsia="en-US"/>
        </w:rPr>
        <w:t>ГНУ «Институт леса НАН Беларуси», 246001, г. Гомель, ул. Пролетарская 71, Беларусь</w:t>
      </w:r>
    </w:p>
    <w:p w:rsidR="00F67125" w:rsidRPr="00CA1B0B" w:rsidRDefault="00F67125" w:rsidP="00F67125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 w:rsidRPr="00D830AD">
        <w:rPr>
          <w:rFonts w:eastAsia="Calibri"/>
          <w:i/>
          <w:sz w:val="24"/>
          <w:szCs w:val="22"/>
          <w:lang w:val="en-US" w:eastAsia="en-US"/>
        </w:rPr>
        <w:t>e</w:t>
      </w:r>
      <w:r w:rsidRPr="00CA1B0B">
        <w:rPr>
          <w:rFonts w:eastAsia="Calibri"/>
          <w:i/>
          <w:sz w:val="24"/>
          <w:szCs w:val="22"/>
          <w:lang w:eastAsia="en-US"/>
        </w:rPr>
        <w:t>-</w:t>
      </w:r>
      <w:r w:rsidRPr="00D830AD">
        <w:rPr>
          <w:rFonts w:eastAsia="Calibri"/>
          <w:i/>
          <w:sz w:val="24"/>
          <w:szCs w:val="22"/>
          <w:lang w:val="en-US" w:eastAsia="en-US"/>
        </w:rPr>
        <w:t>mail</w:t>
      </w:r>
      <w:r w:rsidRPr="00CA1B0B">
        <w:rPr>
          <w:rFonts w:eastAsia="Calibri"/>
          <w:i/>
          <w:sz w:val="24"/>
          <w:szCs w:val="22"/>
          <w:lang w:eastAsia="en-US"/>
        </w:rPr>
        <w:t xml:space="preserve">: </w:t>
      </w:r>
      <w:hyperlink r:id="rId7" w:history="1"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butskavets</w:t>
        </w:r>
        <w:r w:rsidRPr="00CA1B0B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u</w:t>
        </w:r>
        <w:r w:rsidRPr="00CA1B0B">
          <w:rPr>
            <w:rFonts w:eastAsia="Calibri"/>
            <w:i/>
            <w:sz w:val="24"/>
            <w:szCs w:val="22"/>
            <w:u w:val="single"/>
            <w:lang w:eastAsia="en-US"/>
          </w:rPr>
          <w:t>@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mail</w:t>
        </w:r>
        <w:r w:rsidRPr="00CA1B0B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ru</w:t>
        </w:r>
      </w:hyperlink>
    </w:p>
    <w:p w:rsidR="00F67125" w:rsidRPr="00CA1B0B" w:rsidRDefault="00F67125" w:rsidP="00F67125">
      <w:pPr>
        <w:spacing w:after="0" w:line="360" w:lineRule="exact"/>
        <w:ind w:firstLine="567"/>
        <w:contextualSpacing/>
        <w:rPr>
          <w:rFonts w:eastAsia="Calibri"/>
          <w:sz w:val="24"/>
          <w:szCs w:val="22"/>
          <w:lang w:eastAsia="en-US"/>
        </w:rPr>
      </w:pP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Введение.</w:t>
      </w:r>
      <w:r w:rsidRPr="00D830AD">
        <w:rPr>
          <w:rFonts w:eastAsia="Calibri"/>
          <w:sz w:val="24"/>
          <w:szCs w:val="22"/>
          <w:lang w:eastAsia="en-US"/>
        </w:rPr>
        <w:t xml:space="preserve"> Формация еловых лесов в Беларуси является зональной и в направлении с севера на юг претерпевает не только количественные, но и определенные качественные изменения. В связи с изменяющимися погодно-климатическими условиями и увеличением антропогенной нагрузки ельники испытывают сильное негативное воздействие, приводящее к сокращению еловых древостоев. Учеными-лесоводами отмечается, что еловые насаждения, образовавшиеся естественным путем, имеют ряд преимуществ над искусственно создаваемыми лесными культурами. Успешность формирования елью материнских древостоев обеспечивается уровнем её лесовозобновительного потенциала [1].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Материалы и методы.</w:t>
      </w:r>
      <w:r w:rsidRPr="00D830AD">
        <w:rPr>
          <w:rFonts w:eastAsia="Calibri"/>
          <w:sz w:val="24"/>
          <w:szCs w:val="22"/>
          <w:lang w:eastAsia="en-US"/>
        </w:rPr>
        <w:t xml:space="preserve"> В данном исследовании были проанализированы приспевающие, спелые и перестойные насаждения Россонского и Бегомльского лесхозов Витебского ГПЛХО. Анализируемые насаждения произрастают в 12 284 таксационных выделах на площади 43 884,6 га Россонского и в 6 104 выделах на площади 20 806,6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 Бегомльского лесхозов. Таким образом, были охвачены насаждения 12 лесничеств Россонского и 8 лесничество Бегомльского лесхозов.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 xml:space="preserve">Результаты и </w:t>
      </w:r>
      <w:bookmarkStart w:id="0" w:name="_GoBack"/>
      <w:bookmarkEnd w:id="0"/>
      <w:r w:rsidR="00AB3796">
        <w:rPr>
          <w:rFonts w:eastAsia="Calibri"/>
          <w:b/>
          <w:sz w:val="24"/>
          <w:szCs w:val="22"/>
          <w:lang w:eastAsia="en-US"/>
        </w:rPr>
        <w:t>обсуждение</w:t>
      </w:r>
      <w:r w:rsidRPr="00D830AD">
        <w:rPr>
          <w:rFonts w:eastAsia="Calibri"/>
          <w:sz w:val="24"/>
          <w:szCs w:val="22"/>
          <w:lang w:eastAsia="en-US"/>
        </w:rPr>
        <w:t>Приспевающие, спелые и перестойные насаждения представлены сосняками (40,9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от общей площади), ельниками (14,1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и мелколиственными насаждениями (45,0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Широколиственные насаждения представлены лишь в одном выделе (6,1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га) Бегомльского лесхоза. Установлено, что под пологом 6 565 насаждений, произрастающих на площади 21 839,9 га (33,8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%), имеется благонадежный подрост основных лесообразующих пород. При этом еловый подрост, способный сформировать в будущем высокопродуктивные еловые насаждения (произрастающий в благоприятных лесорастительных условиях), нами был отмечен на площади 15 538,6 га (24,0 %). Наиболее успешно естественное возобновление ели под пологом древостоев протекает в черничной (53,2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всех древостоев данной группе типов леса), орляковой (51,9 %) и кисличной (42,4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группах типов леса. По густоте наибольший удельный вес имеет группа подроста с количеством от 2,0 до 3,9 тыс.шт./га (73,1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общего количества подроста) и с количеством более 4,0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(15,5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Подрост количеством до 2,0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представлен лишь в 11,5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случаев.</w:t>
      </w:r>
    </w:p>
    <w:p w:rsidR="00F67125" w:rsidRDefault="00AB3796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В</w:t>
      </w:r>
      <w:r w:rsidRPr="00D830AD">
        <w:rPr>
          <w:rFonts w:eastAsia="Calibri"/>
          <w:b/>
          <w:sz w:val="24"/>
          <w:szCs w:val="22"/>
          <w:lang w:eastAsia="en-US"/>
        </w:rPr>
        <w:t>ыводы.</w:t>
      </w:r>
      <w:r w:rsidR="009A45B4" w:rsidRPr="009A45B4">
        <w:rPr>
          <w:rFonts w:eastAsia="Calibri"/>
          <w:b/>
          <w:sz w:val="24"/>
          <w:szCs w:val="22"/>
          <w:lang w:eastAsia="en-US"/>
        </w:rPr>
        <w:t xml:space="preserve"> </w:t>
      </w:r>
      <w:r w:rsidR="00F67125" w:rsidRPr="00D830AD">
        <w:rPr>
          <w:rFonts w:eastAsia="Calibri"/>
          <w:sz w:val="24"/>
          <w:szCs w:val="22"/>
          <w:lang w:eastAsia="en-US"/>
        </w:rPr>
        <w:t>Вышеуказанное свидетельствует о высоком лесовозобновительном потенциале популяции ели европейской даже в условиях негативных изменений экологических условий. Рациональное проведение лесохозяйственных мероприятий на территории указанных учреждений, посредством проведения несплошных рубок леса и обеспечения сохранения подроста, позволит сохранить площадь еловых насаждений.</w:t>
      </w:r>
    </w:p>
    <w:p w:rsidR="00F67125" w:rsidRPr="00F67125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lastRenderedPageBreak/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</w:p>
    <w:p w:rsidR="00F67125" w:rsidRPr="00F67125" w:rsidRDefault="00F67125" w:rsidP="00F67125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F67125" w:rsidRPr="00F67125" w:rsidRDefault="00F67125" w:rsidP="00F67125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F67125" w:rsidRPr="00FC5600" w:rsidRDefault="00F67125" w:rsidP="00F67125">
      <w:pPr>
        <w:spacing w:after="0" w:line="360" w:lineRule="exact"/>
        <w:ind w:firstLine="567"/>
        <w:contextualSpacing/>
        <w:rPr>
          <w:rFonts w:eastAsia="Calibri"/>
          <w:b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Литература</w:t>
      </w:r>
    </w:p>
    <w:p w:rsidR="00F67125" w:rsidRPr="00D830AD" w:rsidRDefault="00F67125" w:rsidP="00F67125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1. Рожков, Л. Н. Лесовозобновительный потенциал белорусской популяции Picea abies в современных условиях / Л. Н. Рожков, В. В. Бутьковец // Труды БГТУ. Сер. 1, Лесное хозяйство, природопользование и переработка возобновляемых ресурсов. – Минск : БГТУ, 2017. – № 1 (192). – C. 18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22.</w:t>
      </w:r>
    </w:p>
    <w:p w:rsidR="00F67125" w:rsidRPr="005B7484" w:rsidRDefault="00F67125" w:rsidP="00F67125">
      <w:pPr>
        <w:spacing w:after="0"/>
        <w:ind w:firstLine="567"/>
        <w:rPr>
          <w:rFonts w:eastAsia="Calibri"/>
          <w:color w:val="000000"/>
          <w:sz w:val="24"/>
          <w:szCs w:val="24"/>
          <w:u w:val="single"/>
        </w:rPr>
      </w:pPr>
      <w:r w:rsidRPr="00D830AD">
        <w:rPr>
          <w:rFonts w:eastAsia="Calibri"/>
          <w:sz w:val="24"/>
          <w:szCs w:val="22"/>
          <w:lang w:eastAsia="en-US"/>
        </w:rPr>
        <w:t>2. Рожков, Л. Н. Экологически приемлемые способы рубок и возобновления при освоении лесосечного фонда в Беларуси / Л. Н. Рожков, И. Ф. Ерошкина, О. Г. Бельчина // Актуальные проблемы лесного комплекса / Под общ. ред. Е. А. Памфилова. Сб. науч. тр. по итогам междунар. практ. конф. Вып. 39. – Брянск: БГИТА, 2014. – С. 80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85.</w:t>
      </w:r>
    </w:p>
    <w:p w:rsidR="00BE21CB" w:rsidRDefault="00BE21CB">
      <w:pPr>
        <w:sectPr w:rsidR="00BE21CB" w:rsidSect="00F67125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21CB" w:rsidRDefault="00BE21CB" w:rsidP="00BE21CB">
      <w:pPr>
        <w:jc w:val="center"/>
        <w:rPr>
          <w:bCs/>
          <w:sz w:val="24"/>
          <w:szCs w:val="24"/>
          <w:u w:val="single"/>
        </w:rPr>
      </w:pPr>
      <w:r w:rsidRPr="00D830AD">
        <w:rPr>
          <w:bCs/>
          <w:sz w:val="24"/>
          <w:szCs w:val="24"/>
          <w:u w:val="single"/>
        </w:rPr>
        <w:lastRenderedPageBreak/>
        <w:t>Бутьковец В.В.</w:t>
      </w:r>
    </w:p>
    <w:p w:rsidR="00BE21CB" w:rsidRPr="00BE21CB" w:rsidRDefault="00BE21CB" w:rsidP="00BE21CB">
      <w:pPr>
        <w:jc w:val="center"/>
        <w:rPr>
          <w:bCs/>
          <w:sz w:val="24"/>
          <w:szCs w:val="24"/>
        </w:rPr>
      </w:pPr>
      <w:r w:rsidRPr="00BE21CB">
        <w:rPr>
          <w:bCs/>
          <w:sz w:val="24"/>
          <w:szCs w:val="24"/>
        </w:rPr>
        <w:t>Научный руководитель: Иванова А.А.</w:t>
      </w:r>
    </w:p>
    <w:p w:rsidR="00BE21CB" w:rsidRPr="00D830AD" w:rsidRDefault="00BE21CB" w:rsidP="00BE21CB">
      <w:pPr>
        <w:spacing w:after="0"/>
        <w:jc w:val="center"/>
        <w:rPr>
          <w:b/>
          <w:sz w:val="24"/>
          <w:szCs w:val="24"/>
        </w:rPr>
      </w:pPr>
      <w:r w:rsidRPr="00D830AD">
        <w:rPr>
          <w:b/>
          <w:sz w:val="24"/>
          <w:szCs w:val="24"/>
        </w:rPr>
        <w:t xml:space="preserve">ЛЕСОВОЗОБНОВИТЕЛЬНЫЙ ПОТЕНЦИАЛ БЕЛОРУССКОЙ ПОПУЛЯЦИИ </w:t>
      </w:r>
      <w:r w:rsidRPr="00D830AD">
        <w:rPr>
          <w:b/>
          <w:i/>
          <w:sz w:val="24"/>
          <w:szCs w:val="24"/>
          <w:lang w:val="en-US"/>
        </w:rPr>
        <w:t>PICEA</w:t>
      </w:r>
      <w:r w:rsidRPr="00D830AD">
        <w:rPr>
          <w:b/>
          <w:i/>
          <w:sz w:val="24"/>
          <w:szCs w:val="24"/>
        </w:rPr>
        <w:t xml:space="preserve"> </w:t>
      </w:r>
      <w:r w:rsidRPr="00D830AD">
        <w:rPr>
          <w:b/>
          <w:i/>
          <w:sz w:val="24"/>
          <w:szCs w:val="24"/>
          <w:lang w:val="en-US"/>
        </w:rPr>
        <w:t>ABIES</w:t>
      </w:r>
      <w:r w:rsidRPr="00D830AD">
        <w:rPr>
          <w:b/>
          <w:sz w:val="24"/>
          <w:szCs w:val="24"/>
        </w:rPr>
        <w:t xml:space="preserve"> НА ПРИМЕРЕ НАСАЖДЕНИЙ РОССОНСКОГО И БЕГОМЛЬСКОГО ЛЕСХОЗОВ ВИТЕБСКОГО ГПЛХО</w:t>
      </w:r>
    </w:p>
    <w:p w:rsidR="00BE21CB" w:rsidRPr="00F67125" w:rsidRDefault="00FC5600" w:rsidP="00BE21CB">
      <w:pPr>
        <w:spacing w:after="0" w:line="360" w:lineRule="exact"/>
        <w:ind w:firstLine="567"/>
        <w:contextualSpacing/>
        <w:jc w:val="center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УО</w:t>
      </w:r>
      <w:r w:rsidR="00BE21CB" w:rsidRPr="00D830AD">
        <w:rPr>
          <w:rFonts w:eastAsia="Calibri"/>
          <w:i/>
          <w:sz w:val="24"/>
          <w:szCs w:val="22"/>
          <w:lang w:eastAsia="en-US"/>
        </w:rPr>
        <w:t xml:space="preserve"> «</w:t>
      </w:r>
      <w:r>
        <w:rPr>
          <w:rFonts w:eastAsia="Calibri"/>
          <w:i/>
          <w:sz w:val="24"/>
          <w:szCs w:val="22"/>
          <w:lang w:eastAsia="en-US"/>
        </w:rPr>
        <w:t>Средняя школа №10 г. Минска</w:t>
      </w:r>
      <w:r w:rsidR="00BE21CB" w:rsidRPr="00D830AD">
        <w:rPr>
          <w:rFonts w:eastAsia="Calibri"/>
          <w:i/>
          <w:sz w:val="24"/>
          <w:szCs w:val="22"/>
          <w:lang w:eastAsia="en-US"/>
        </w:rPr>
        <w:t>», 2</w:t>
      </w:r>
      <w:r>
        <w:rPr>
          <w:rFonts w:eastAsia="Calibri"/>
          <w:i/>
          <w:sz w:val="24"/>
          <w:szCs w:val="22"/>
          <w:lang w:eastAsia="en-US"/>
        </w:rPr>
        <w:t>20070</w:t>
      </w:r>
      <w:r w:rsidR="00BE21CB" w:rsidRPr="00D830AD">
        <w:rPr>
          <w:rFonts w:eastAsia="Calibri"/>
          <w:i/>
          <w:sz w:val="24"/>
          <w:szCs w:val="22"/>
          <w:lang w:eastAsia="en-US"/>
        </w:rPr>
        <w:t xml:space="preserve">, г. </w:t>
      </w:r>
      <w:r>
        <w:rPr>
          <w:rFonts w:eastAsia="Calibri"/>
          <w:i/>
          <w:sz w:val="24"/>
          <w:szCs w:val="22"/>
          <w:lang w:eastAsia="en-US"/>
        </w:rPr>
        <w:t>Минск</w:t>
      </w:r>
      <w:r w:rsidR="00BE21CB" w:rsidRPr="00D830AD">
        <w:rPr>
          <w:rFonts w:eastAsia="Calibri"/>
          <w:i/>
          <w:sz w:val="24"/>
          <w:szCs w:val="22"/>
          <w:lang w:eastAsia="en-US"/>
        </w:rPr>
        <w:t xml:space="preserve">, ул. </w:t>
      </w:r>
      <w:r>
        <w:rPr>
          <w:rFonts w:eastAsia="Calibri"/>
          <w:i/>
          <w:sz w:val="24"/>
          <w:szCs w:val="22"/>
          <w:lang w:eastAsia="en-US"/>
        </w:rPr>
        <w:t>Ленина</w:t>
      </w:r>
      <w:r w:rsidR="00BE21CB" w:rsidRPr="00D830AD">
        <w:rPr>
          <w:rFonts w:eastAsia="Calibri"/>
          <w:i/>
          <w:sz w:val="24"/>
          <w:szCs w:val="22"/>
          <w:lang w:eastAsia="en-US"/>
        </w:rPr>
        <w:t xml:space="preserve"> </w:t>
      </w:r>
      <w:r>
        <w:rPr>
          <w:rFonts w:eastAsia="Calibri"/>
          <w:i/>
          <w:sz w:val="24"/>
          <w:szCs w:val="22"/>
          <w:lang w:eastAsia="en-US"/>
        </w:rPr>
        <w:t>1</w:t>
      </w:r>
      <w:r w:rsidR="00BE21CB" w:rsidRPr="00D830AD">
        <w:rPr>
          <w:rFonts w:eastAsia="Calibri"/>
          <w:i/>
          <w:sz w:val="24"/>
          <w:szCs w:val="22"/>
          <w:lang w:eastAsia="en-US"/>
        </w:rPr>
        <w:t>, Беларусь</w:t>
      </w:r>
      <w:r w:rsidR="00BE21CB">
        <w:rPr>
          <w:rFonts w:eastAsia="Calibri"/>
          <w:i/>
          <w:sz w:val="24"/>
          <w:szCs w:val="22"/>
          <w:lang w:eastAsia="en-US"/>
        </w:rPr>
        <w:t xml:space="preserve">, </w:t>
      </w:r>
      <w:r w:rsidR="00CA1B0B">
        <w:rPr>
          <w:rFonts w:eastAsia="Calibri"/>
          <w:i/>
          <w:sz w:val="24"/>
          <w:szCs w:val="22"/>
          <w:lang w:eastAsia="en-US"/>
        </w:rPr>
        <w:br/>
      </w:r>
      <w:r w:rsidR="00BE21CB" w:rsidRPr="00D830AD">
        <w:rPr>
          <w:rFonts w:eastAsia="Calibri"/>
          <w:i/>
          <w:sz w:val="24"/>
          <w:szCs w:val="22"/>
          <w:lang w:val="en-US" w:eastAsia="en-US"/>
        </w:rPr>
        <w:t>e</w:t>
      </w:r>
      <w:r w:rsidR="00BE21CB" w:rsidRPr="00F67125">
        <w:rPr>
          <w:rFonts w:eastAsia="Calibri"/>
          <w:i/>
          <w:sz w:val="24"/>
          <w:szCs w:val="22"/>
          <w:lang w:eastAsia="en-US"/>
        </w:rPr>
        <w:t>-</w:t>
      </w:r>
      <w:r w:rsidR="00BE21CB" w:rsidRPr="00D830AD">
        <w:rPr>
          <w:rFonts w:eastAsia="Calibri"/>
          <w:i/>
          <w:sz w:val="24"/>
          <w:szCs w:val="22"/>
          <w:lang w:val="en-US" w:eastAsia="en-US"/>
        </w:rPr>
        <w:t>mail</w:t>
      </w:r>
      <w:r w:rsidR="00BE21CB" w:rsidRPr="00F67125">
        <w:rPr>
          <w:rFonts w:eastAsia="Calibri"/>
          <w:i/>
          <w:sz w:val="24"/>
          <w:szCs w:val="22"/>
          <w:lang w:eastAsia="en-US"/>
        </w:rPr>
        <w:t xml:space="preserve">: </w:t>
      </w:r>
      <w:hyperlink r:id="rId9" w:history="1">
        <w:r w:rsidR="00BE21CB"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butskavets</w:t>
        </w:r>
        <w:r w:rsidR="00BE21CB"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="00BE21CB"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u</w:t>
        </w:r>
        <w:r w:rsidR="00BE21CB" w:rsidRPr="00F67125">
          <w:rPr>
            <w:rFonts w:eastAsia="Calibri"/>
            <w:i/>
            <w:sz w:val="24"/>
            <w:szCs w:val="22"/>
            <w:u w:val="single"/>
            <w:lang w:eastAsia="en-US"/>
          </w:rPr>
          <w:t>@</w:t>
        </w:r>
        <w:r w:rsidR="00BE21CB"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mail</w:t>
        </w:r>
        <w:r w:rsidR="00BE21CB" w:rsidRPr="00F67125">
          <w:rPr>
            <w:rFonts w:eastAsia="Calibri"/>
            <w:i/>
            <w:sz w:val="24"/>
            <w:szCs w:val="22"/>
            <w:u w:val="single"/>
            <w:lang w:eastAsia="en-US"/>
          </w:rPr>
          <w:t>.</w:t>
        </w:r>
        <w:r w:rsidR="00BE21CB" w:rsidRPr="00D830AD">
          <w:rPr>
            <w:rFonts w:eastAsia="Calibri"/>
            <w:i/>
            <w:sz w:val="24"/>
            <w:szCs w:val="22"/>
            <w:u w:val="single"/>
            <w:lang w:val="en-US" w:eastAsia="en-US"/>
          </w:rPr>
          <w:t>ru</w:t>
        </w:r>
      </w:hyperlink>
    </w:p>
    <w:p w:rsidR="00BE21CB" w:rsidRPr="00F67125" w:rsidRDefault="00BE21CB" w:rsidP="00BE21CB">
      <w:pPr>
        <w:spacing w:after="0" w:line="360" w:lineRule="exact"/>
        <w:ind w:firstLine="567"/>
        <w:contextualSpacing/>
        <w:rPr>
          <w:rFonts w:eastAsia="Calibri"/>
          <w:sz w:val="24"/>
          <w:szCs w:val="22"/>
          <w:lang w:eastAsia="en-US"/>
        </w:rPr>
      </w:pP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Введение.</w:t>
      </w:r>
      <w:r w:rsidRPr="00D830AD">
        <w:rPr>
          <w:rFonts w:eastAsia="Calibri"/>
          <w:sz w:val="24"/>
          <w:szCs w:val="22"/>
          <w:lang w:eastAsia="en-US"/>
        </w:rPr>
        <w:t xml:space="preserve"> Формация еловых лесов в Беларуси является зональной и в направлении с севера на юг претерпевает не только количественные, но и определенные качественные изменения. В связи с изменяющимися погодно-климатическими условиями и увеличением антропогенной нагрузки ельники испытывают сильное негативное воздействие, приводящее к сокращению еловых древостоев. Учеными-лесоводами отмечается, что еловые насаждения, образовавшиеся естественным путем, имеют ряд преимуществ над искусственно создаваемыми лесными культурами. Успешность формирования елью материнских древостоев обеспечивается уровнем её лесовозобновительного потенциала [1].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Материалы и методы.</w:t>
      </w:r>
      <w:r w:rsidRPr="00D830AD">
        <w:rPr>
          <w:rFonts w:eastAsia="Calibri"/>
          <w:sz w:val="24"/>
          <w:szCs w:val="22"/>
          <w:lang w:eastAsia="en-US"/>
        </w:rPr>
        <w:t xml:space="preserve"> В данном исследовании были проанализированы приспевающие, спелые и перестойные насаждения Россонского и Бегомльского лесхозов Витебского ГПЛХО. Анализируемые насаждения произрастают в 12 284 таксационных выделах на площади 43 884,6 га Россонского и в 6 104 выделах на площади 20 806,6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 Бегомльского лесхозов. Таким образом, были охвачены насаждения 12 лесничеств Россонского и 8 лесничество Бегомльского лесхозов.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Результаты и</w:t>
      </w:r>
      <w:r w:rsidR="00AB3796">
        <w:rPr>
          <w:rFonts w:eastAsia="Calibri"/>
          <w:b/>
          <w:sz w:val="24"/>
          <w:szCs w:val="22"/>
          <w:lang w:eastAsia="en-US"/>
        </w:rPr>
        <w:t xml:space="preserve"> обсуждение</w:t>
      </w:r>
      <w:r w:rsidRPr="00D830AD">
        <w:rPr>
          <w:rFonts w:eastAsia="Calibri"/>
          <w:b/>
          <w:sz w:val="24"/>
          <w:szCs w:val="22"/>
          <w:lang w:eastAsia="en-US"/>
        </w:rPr>
        <w:t xml:space="preserve"> </w:t>
      </w:r>
      <w:r w:rsidRPr="00D830AD">
        <w:rPr>
          <w:rFonts w:eastAsia="Calibri"/>
          <w:sz w:val="24"/>
          <w:szCs w:val="22"/>
          <w:lang w:eastAsia="en-US"/>
        </w:rPr>
        <w:t>Приспевающие, спелые и перестойные насаждения представлены сосняками (40,9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от общей площади), ельниками (14,1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и мелколиственными насаждениями (45,0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Широколиственные насаждения представлены лишь в одном выделе (6,1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га) Бегомльского лесхоза. Установлено, что под пологом 6 565 насаждений, произрастающих на площади 21 839,9 га (33,8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%), имеется благонадежный подрост основных лесообразующих пород. При этом еловый подрост, способный сформировать в будущем высокопродуктивные еловые насаждения (произрастающий в благоприятных лесорастительных условиях), нами был отмечен на площади 15 538,6 га (24,0 %). Наиболее успешно естественное возобновление ели под пологом древостоев протекает в черничной (53,2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всех древостоев данной группе типов леса), орляковой (51,9 %) и кисличной (42,4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 группах типов леса. По густоте наибольший удельный вес имеет группа подроста с количеством от 2,0 до 3,9 тыс.шт./га (73,1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общего количества подроста) и с количеством более 4,0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(15,5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%). Подрост количеством до 2,0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тыс.шт./га представлен лишь в 11,5</w:t>
      </w:r>
      <w:r>
        <w:rPr>
          <w:rFonts w:eastAsia="Calibri"/>
          <w:sz w:val="24"/>
          <w:szCs w:val="22"/>
          <w:lang w:eastAsia="en-US"/>
        </w:rPr>
        <w:t> </w:t>
      </w:r>
      <w:r w:rsidRPr="00D830AD">
        <w:rPr>
          <w:rFonts w:eastAsia="Calibri"/>
          <w:sz w:val="24"/>
          <w:szCs w:val="22"/>
          <w:lang w:eastAsia="en-US"/>
        </w:rPr>
        <w:t>% случаев.</w:t>
      </w:r>
    </w:p>
    <w:p w:rsidR="00BE21CB" w:rsidRDefault="00AB3796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>В</w:t>
      </w:r>
      <w:r w:rsidRPr="00D830AD">
        <w:rPr>
          <w:rFonts w:eastAsia="Calibri"/>
          <w:b/>
          <w:sz w:val="24"/>
          <w:szCs w:val="22"/>
          <w:lang w:eastAsia="en-US"/>
        </w:rPr>
        <w:t>ыводы.</w:t>
      </w:r>
      <w:r w:rsidR="009A45B4" w:rsidRPr="009A45B4">
        <w:rPr>
          <w:rFonts w:eastAsia="Calibri"/>
          <w:b/>
          <w:sz w:val="24"/>
          <w:szCs w:val="22"/>
          <w:lang w:eastAsia="en-US"/>
        </w:rPr>
        <w:t xml:space="preserve"> </w:t>
      </w:r>
      <w:r w:rsidR="00BE21CB" w:rsidRPr="00D830AD">
        <w:rPr>
          <w:rFonts w:eastAsia="Calibri"/>
          <w:sz w:val="24"/>
          <w:szCs w:val="22"/>
          <w:lang w:eastAsia="en-US"/>
        </w:rPr>
        <w:t>Вышеуказанное свидетельствует о высоком лесовозобновительном потенциале популяции ели европейской даже в условиях негативных изменений экологических условий. Рациональное проведение лесохозяйственных мероприятий на территории указанных учреждений, посредством проведения несплошных рубок леса и обеспечения сохранения подроста, позволит сохранить площадь еловых насаждений.</w:t>
      </w:r>
    </w:p>
    <w:p w:rsidR="00BE21CB" w:rsidRPr="00F67125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lastRenderedPageBreak/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F67125" w:rsidRDefault="00BE21CB" w:rsidP="00BE21CB">
      <w:pPr>
        <w:spacing w:after="0"/>
        <w:ind w:firstLine="567"/>
        <w:rPr>
          <w:rFonts w:eastAsia="Calibri"/>
        </w:rPr>
      </w:pP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lorem</w:t>
      </w:r>
      <w:r w:rsidRPr="00F67125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val="en-US" w:eastAsia="en-US"/>
        </w:rPr>
        <w:t>ipsum</w:t>
      </w:r>
      <w:r w:rsidRPr="00F67125">
        <w:rPr>
          <w:rFonts w:eastAsia="Calibri"/>
          <w:sz w:val="24"/>
          <w:szCs w:val="22"/>
          <w:lang w:eastAsia="en-US"/>
        </w:rPr>
        <w:t>.</w:t>
      </w:r>
    </w:p>
    <w:p w:rsidR="00BE21CB" w:rsidRPr="00BE21CB" w:rsidRDefault="00BE21CB" w:rsidP="00BE21CB">
      <w:pPr>
        <w:spacing w:after="0" w:line="360" w:lineRule="exact"/>
        <w:ind w:firstLine="567"/>
        <w:contextualSpacing/>
        <w:rPr>
          <w:rFonts w:eastAsia="Calibri"/>
          <w:b/>
          <w:sz w:val="24"/>
          <w:szCs w:val="22"/>
          <w:lang w:eastAsia="en-US"/>
        </w:rPr>
      </w:pPr>
      <w:r w:rsidRPr="00D830AD">
        <w:rPr>
          <w:rFonts w:eastAsia="Calibri"/>
          <w:b/>
          <w:sz w:val="24"/>
          <w:szCs w:val="22"/>
          <w:lang w:eastAsia="en-US"/>
        </w:rPr>
        <w:t>Литература</w:t>
      </w:r>
    </w:p>
    <w:p w:rsidR="00BE21CB" w:rsidRPr="00D830AD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</w:pPr>
      <w:r w:rsidRPr="00D830AD">
        <w:rPr>
          <w:rFonts w:eastAsia="Calibri"/>
          <w:sz w:val="24"/>
          <w:szCs w:val="22"/>
          <w:lang w:eastAsia="en-US"/>
        </w:rPr>
        <w:t>1. Рожков, Л. Н. Лесовозобновительный потенциал белорусской популяции Picea abies в современных условиях / Л. Н. Рожков, В. В. Бутьковец // Труды БГТУ. Сер. 1, Лесное хозяйство, природопользование и переработка возобновляемых ресурсов. – Минск : БГТУ, 2017. – № 1 (192). – C. 18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22.</w:t>
      </w:r>
    </w:p>
    <w:p w:rsidR="00FC5600" w:rsidRDefault="00BE21CB" w:rsidP="00BE21CB">
      <w:pPr>
        <w:spacing w:after="0"/>
        <w:ind w:firstLine="567"/>
        <w:rPr>
          <w:rFonts w:eastAsia="Calibri"/>
          <w:sz w:val="24"/>
          <w:szCs w:val="22"/>
          <w:lang w:eastAsia="en-US"/>
        </w:rPr>
        <w:sectPr w:rsidR="00FC5600" w:rsidSect="00F67125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30AD">
        <w:rPr>
          <w:rFonts w:eastAsia="Calibri"/>
          <w:sz w:val="24"/>
          <w:szCs w:val="22"/>
          <w:lang w:eastAsia="en-US"/>
        </w:rPr>
        <w:t>2. Рожков, Л. Н. Экологически приемлемые способы рубок и возобновления при освоении лесосечного фонда в Беларуси / Л. Н. Рожков, И. Ф. Ерошкина, О. Г. Бельчина // Актуальные проблемы лесного комплекса / Под общ. ред. Е. А. Памфилова. Сб. науч. тр. по итогам междунар. практ. конф. Вып. 39. – Брянск: БГИТА, 2014. – С. 80</w:t>
      </w:r>
      <w:r>
        <w:rPr>
          <w:rFonts w:eastAsia="Calibri"/>
          <w:sz w:val="24"/>
          <w:szCs w:val="22"/>
          <w:lang w:eastAsia="en-US"/>
        </w:rPr>
        <w:t>–</w:t>
      </w:r>
      <w:r w:rsidRPr="00D830AD">
        <w:rPr>
          <w:rFonts w:eastAsia="Calibri"/>
          <w:sz w:val="24"/>
          <w:szCs w:val="22"/>
          <w:lang w:eastAsia="en-US"/>
        </w:rPr>
        <w:t>85.</w:t>
      </w:r>
    </w:p>
    <w:p w:rsidR="00FC5600" w:rsidRPr="00C176A8" w:rsidRDefault="00FC5600" w:rsidP="00FC5600">
      <w:pPr>
        <w:rPr>
          <w:rFonts w:ascii="Arial" w:hAnsi="Arial" w:cs="Arial"/>
        </w:rPr>
      </w:pPr>
      <w:r w:rsidRPr="00C176A8">
        <w:rPr>
          <w:rFonts w:ascii="Arial" w:hAnsi="Arial" w:cs="Arial"/>
        </w:rPr>
        <w:lastRenderedPageBreak/>
        <w:t>Оформление материалов конференции «Молодежь в науке – 2</w:t>
      </w:r>
      <w:r w:rsidR="00AB3796">
        <w:rPr>
          <w:rFonts w:ascii="Arial" w:hAnsi="Arial" w:cs="Arial"/>
        </w:rPr>
        <w:t>.</w:t>
      </w:r>
      <w:r w:rsidRPr="00C176A8">
        <w:rPr>
          <w:rFonts w:ascii="Arial" w:hAnsi="Arial" w:cs="Arial"/>
        </w:rPr>
        <w:t>0</w:t>
      </w:r>
      <w:r w:rsidR="009A45B4" w:rsidRPr="009A45B4">
        <w:rPr>
          <w:rFonts w:ascii="Arial" w:hAnsi="Arial" w:cs="Arial"/>
        </w:rPr>
        <w:t>’</w:t>
      </w:r>
      <w:r w:rsidR="00AB3796">
        <w:rPr>
          <w:rFonts w:ascii="Arial" w:hAnsi="Arial" w:cs="Arial"/>
        </w:rPr>
        <w:t>20</w:t>
      </w:r>
      <w:r w:rsidRPr="00C176A8">
        <w:rPr>
          <w:rFonts w:ascii="Arial" w:hAnsi="Arial" w:cs="Arial"/>
        </w:rPr>
        <w:t>»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I. </w:t>
      </w:r>
      <w:r>
        <w:rPr>
          <w:rFonts w:ascii="Arial" w:hAnsi="Arial" w:cs="Arial"/>
          <w:color w:val="606060"/>
          <w:sz w:val="18"/>
          <w:szCs w:val="18"/>
        </w:rPr>
        <w:t>Материалы,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</w:t>
      </w:r>
      <w:r>
        <w:rPr>
          <w:rFonts w:ascii="Arial" w:hAnsi="Arial" w:cs="Arial"/>
          <w:color w:val="606060"/>
          <w:sz w:val="18"/>
          <w:szCs w:val="18"/>
        </w:rPr>
        <w:t xml:space="preserve">содержащие </w:t>
      </w:r>
      <w:r w:rsidRPr="00F22657">
        <w:rPr>
          <w:rFonts w:ascii="Arial" w:hAnsi="Arial" w:cs="Arial"/>
          <w:color w:val="606060"/>
          <w:sz w:val="18"/>
          <w:szCs w:val="18"/>
        </w:rPr>
        <w:t>результат</w:t>
      </w:r>
      <w:r>
        <w:rPr>
          <w:rFonts w:ascii="Arial" w:hAnsi="Arial" w:cs="Arial"/>
          <w:color w:val="606060"/>
          <w:sz w:val="18"/>
          <w:szCs w:val="18"/>
        </w:rPr>
        <w:t>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работ, проведенных в научных учреждениях, должны иметь разрешение на опубликование (сопроводительное письмо ректората или дирекции соответствующего института либо выписку из протокола заседания ученого совета, отдела или кафедры, а также акт экспертизы).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II. </w:t>
      </w:r>
      <w:r>
        <w:rPr>
          <w:rFonts w:ascii="Arial" w:hAnsi="Arial" w:cs="Arial"/>
          <w:color w:val="606060"/>
          <w:sz w:val="18"/>
          <w:szCs w:val="18"/>
        </w:rPr>
        <w:t>Материалы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предоставля</w:t>
      </w:r>
      <w:r>
        <w:rPr>
          <w:rFonts w:ascii="Arial" w:hAnsi="Arial" w:cs="Arial"/>
          <w:color w:val="606060"/>
          <w:sz w:val="18"/>
          <w:szCs w:val="18"/>
        </w:rPr>
        <w:t>ю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тся в </w:t>
      </w:r>
      <w:r>
        <w:rPr>
          <w:rFonts w:ascii="Arial" w:hAnsi="Arial" w:cs="Arial"/>
          <w:color w:val="606060"/>
          <w:sz w:val="18"/>
          <w:szCs w:val="18"/>
        </w:rPr>
        <w:t xml:space="preserve">Оргкомитет конференции «Молодежь в науке» </w:t>
      </w:r>
      <w:r w:rsidRPr="00CD1431">
        <w:rPr>
          <w:rFonts w:ascii="Arial" w:hAnsi="Arial" w:cs="Arial"/>
          <w:color w:val="606060"/>
          <w:sz w:val="18"/>
          <w:szCs w:val="18"/>
        </w:rPr>
        <w:t>в одном экземпляре на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белорусском, русском или английском языках; шрифт – Times New Roman, кегль – 1</w:t>
      </w:r>
      <w:r>
        <w:rPr>
          <w:rFonts w:ascii="Arial" w:hAnsi="Arial" w:cs="Arial"/>
          <w:color w:val="606060"/>
          <w:sz w:val="18"/>
          <w:szCs w:val="18"/>
        </w:rPr>
        <w:t>2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(в том числе в формулах); межстрочный интервал – </w:t>
      </w:r>
      <w:r>
        <w:rPr>
          <w:rFonts w:ascii="Arial" w:hAnsi="Arial" w:cs="Arial"/>
          <w:color w:val="606060"/>
          <w:sz w:val="18"/>
          <w:szCs w:val="18"/>
        </w:rPr>
        <w:t>одинарный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. Занумерованные формулы выключаются в отдельную строку. В тексте не допускаются рукописные вставки и вклейки. III. </w:t>
      </w:r>
      <w:r>
        <w:rPr>
          <w:rFonts w:ascii="Arial" w:hAnsi="Arial" w:cs="Arial"/>
          <w:color w:val="606060"/>
          <w:sz w:val="18"/>
          <w:szCs w:val="18"/>
        </w:rPr>
        <w:t xml:space="preserve">Материалы </w:t>
      </w:r>
      <w:r w:rsidRPr="00F22657">
        <w:rPr>
          <w:rFonts w:ascii="Arial" w:hAnsi="Arial" w:cs="Arial"/>
          <w:color w:val="606060"/>
          <w:sz w:val="18"/>
          <w:szCs w:val="18"/>
        </w:rPr>
        <w:t>должн</w:t>
      </w:r>
      <w:r>
        <w:rPr>
          <w:rFonts w:ascii="Arial" w:hAnsi="Arial" w:cs="Arial"/>
          <w:color w:val="606060"/>
          <w:sz w:val="18"/>
          <w:szCs w:val="18"/>
        </w:rPr>
        <w:t>ы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иметь следующую структуру: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1. Индекс по Универсальной десятичной классификации (УДК);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инициалы и фамилии авторов;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название </w:t>
      </w:r>
      <w:r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</w:rPr>
        <w:t>;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полное наименование учреждений, где работают авторы, с указанием города и страны, адрес электронной почты</w:t>
      </w:r>
      <w:r w:rsidR="00E46B17">
        <w:rPr>
          <w:rFonts w:ascii="Arial" w:hAnsi="Arial" w:cs="Arial"/>
          <w:color w:val="606060"/>
          <w:sz w:val="18"/>
          <w:szCs w:val="18"/>
        </w:rPr>
        <w:t xml:space="preserve"> докладчика</w:t>
      </w:r>
      <w:r w:rsidRPr="00F22657">
        <w:rPr>
          <w:rFonts w:ascii="Arial" w:hAnsi="Arial" w:cs="Arial"/>
          <w:color w:val="606060"/>
          <w:sz w:val="18"/>
          <w:szCs w:val="18"/>
        </w:rPr>
        <w:t>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t>2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. Основной текст </w:t>
      </w:r>
      <w:r>
        <w:rPr>
          <w:rFonts w:ascii="Arial" w:hAnsi="Arial" w:cs="Arial"/>
          <w:color w:val="606060"/>
          <w:sz w:val="18"/>
          <w:szCs w:val="18"/>
        </w:rPr>
        <w:t xml:space="preserve">материалов 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должен составлять </w:t>
      </w:r>
      <w:r w:rsidR="00754E28">
        <w:rPr>
          <w:rFonts w:ascii="Arial" w:hAnsi="Arial" w:cs="Arial"/>
          <w:color w:val="606060"/>
          <w:sz w:val="18"/>
          <w:szCs w:val="18"/>
        </w:rPr>
        <w:t>3</w:t>
      </w:r>
      <w:r>
        <w:rPr>
          <w:rFonts w:ascii="Arial" w:hAnsi="Arial" w:cs="Arial"/>
          <w:color w:val="606060"/>
          <w:sz w:val="18"/>
          <w:szCs w:val="18"/>
        </w:rPr>
        <w:t>-</w:t>
      </w:r>
      <w:r w:rsidR="00754E28">
        <w:rPr>
          <w:rFonts w:ascii="Arial" w:hAnsi="Arial" w:cs="Arial"/>
          <w:color w:val="606060"/>
          <w:sz w:val="18"/>
          <w:szCs w:val="18"/>
        </w:rPr>
        <w:t>6</w:t>
      </w:r>
      <w:r w:rsidRPr="00CD1431">
        <w:rPr>
          <w:rFonts w:ascii="Arial" w:hAnsi="Arial" w:cs="Arial"/>
          <w:color w:val="606060"/>
          <w:sz w:val="18"/>
          <w:szCs w:val="18"/>
        </w:rPr>
        <w:t xml:space="preserve"> тыс. знаков</w:t>
      </w:r>
      <w:r>
        <w:rPr>
          <w:rFonts w:ascii="Arial" w:hAnsi="Arial" w:cs="Arial"/>
          <w:color w:val="606060"/>
          <w:sz w:val="18"/>
          <w:szCs w:val="18"/>
        </w:rPr>
        <w:t xml:space="preserve"> (но не более 2 страниц указанного форматирования)</w:t>
      </w:r>
      <w:r w:rsidRPr="00CD1431">
        <w:rPr>
          <w:rFonts w:ascii="Arial" w:hAnsi="Arial" w:cs="Arial"/>
          <w:color w:val="606060"/>
          <w:sz w:val="18"/>
          <w:szCs w:val="18"/>
        </w:rPr>
        <w:t>; в этот</w:t>
      </w:r>
      <w:r w:rsidRPr="00F22657">
        <w:rPr>
          <w:rFonts w:ascii="Arial" w:hAnsi="Arial" w:cs="Arial"/>
          <w:color w:val="606060"/>
          <w:sz w:val="18"/>
          <w:szCs w:val="18"/>
        </w:rPr>
        <w:t xml:space="preserve"> объем</w:t>
      </w:r>
      <w:r>
        <w:rPr>
          <w:rFonts w:ascii="Arial" w:hAnsi="Arial" w:cs="Arial"/>
          <w:color w:val="606060"/>
          <w:sz w:val="18"/>
          <w:szCs w:val="18"/>
        </w:rPr>
        <w:t xml:space="preserve"> также входят таблицы и рисунки</w:t>
      </w:r>
      <w:r w:rsidRPr="00F22657">
        <w:rPr>
          <w:rFonts w:ascii="Arial" w:hAnsi="Arial" w:cs="Arial"/>
          <w:color w:val="606060"/>
          <w:sz w:val="18"/>
          <w:szCs w:val="18"/>
        </w:rPr>
        <w:t>. Изложенный материал должен быть четко структурированным: введение, цели и задачи, методы, результаты, заключение (выводы). 6. Список использованной литературы оформляется в соответствии с требованиями Высшей аттестационной комиссии Республики Беларусь (ГОСТ 7.1-2003). Цитированная литература приводится общим списком по мере упоминания, ссылки в тексте даются порядковым номером в квадратных скобках (напр., [1]); ссылки на неопубликованные работы не допускаются).</w:t>
      </w:r>
    </w:p>
    <w:p w:rsidR="00FC5600" w:rsidRPr="00F22657" w:rsidRDefault="00FC5600" w:rsidP="00FC5600">
      <w:pPr>
        <w:rPr>
          <w:rFonts w:ascii="Arial" w:hAnsi="Arial" w:cs="Arial"/>
          <w:b/>
          <w:color w:val="606060"/>
          <w:sz w:val="18"/>
          <w:szCs w:val="18"/>
        </w:rPr>
      </w:pPr>
      <w:r w:rsidRPr="00F22657">
        <w:rPr>
          <w:rFonts w:ascii="Arial" w:hAnsi="Arial" w:cs="Arial"/>
          <w:b/>
          <w:color w:val="606060"/>
          <w:sz w:val="18"/>
          <w:szCs w:val="18"/>
        </w:rPr>
        <w:t xml:space="preserve">Примеры (подготовлены по материалам методических рекомендаций «Редакционная подготовка научных журналов для включения в зарубежные индексы цитирования» 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О. В. Кирилловой (http://elsevierscience.ru/files/kirillova_editorial.pdf):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статьи из журналов: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Zagurenko A.G., Korotovskikh V.A., Kolesnikov A.A., Timonov A.V., Kardymon D.V. Tekhniko-ekonomicheskaya optimizatsiya dizaina gidrorazryva plasta [Techno-economic optimization of the design of hydraulic fracturing]. Neftyanoe khozyaistvo = Oil Industry, 2008, no. 11, pp. 54–57.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 статьи из электронного источника: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Swaminathan V., Lepkoswka-White E., Rao B.P. Browsers or buyers in cyberspace? Aninvestigation of electronic factors influencing electronic exchange. Journal of Computer-Mediated Communication, 1999, vol. 5, no. 2. Available at: http://www. ascusc.org/ jcmc/vol5/issue2/ (Accessed 28 April 2011).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статьи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с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DOI: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Zhang Z., Zhu D. Experimental research on the localized electrochemical micromachining. </w:t>
      </w:r>
      <w:r w:rsidRPr="00F22657">
        <w:rPr>
          <w:rFonts w:ascii="Arial" w:hAnsi="Arial" w:cs="Arial"/>
          <w:color w:val="606060"/>
          <w:sz w:val="18"/>
          <w:szCs w:val="18"/>
        </w:rPr>
        <w:t>Russian Journal of Electrochemistry, 2008, vol. 44, no. 8, pp. 926–930. doi: 10.1134/S1023193508080077.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 статьи из продолжающегося издания (сборника трудов):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Astakhov M. V., Tagantsev T. V. Eksperimental'noe issledovanie prochnosti soedinenii «stal'-kompozit» [Experimental study of the strength of joints "steel-composite"]. Trudy MGTU «Matematicheskoe modelirovanie slozhnykh tekhnicheskikh sistem» [Proc. of the Bauman MSTU “Mathematical Modeling of Complex Technical Systems”], 2006, no. 593, 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pp. 125–130.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материалов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конференций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Usmanov T. S., Gusmanov A. A., Mullagalin I. Z., Muhametshina R. Ju., Chervyakova A. N., Sveshnikov A. V. Osobennosti proektirovaniya razrabotki mestorozhdeniy s primeneniem gidrorazryva plasta [Features of the design of field development with the use of hydraulic fracturing]. Trudy 6 Mezhdunarodnogo Simpoziuma “Novye resursosberegayushchie tekhnologii nedropol'zovaniya i povysheniya neftegazootdachi” [Proc. 6th Int. Symp. “New energy saving subsoil technologies and the increasing of the oil and gas impact”]. Moscow, 2007, pp. 267–272.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книги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(</w:t>
      </w:r>
      <w:r w:rsidRPr="00F22657">
        <w:rPr>
          <w:rFonts w:ascii="Arial" w:hAnsi="Arial" w:cs="Arial"/>
          <w:color w:val="606060"/>
          <w:sz w:val="18"/>
          <w:szCs w:val="18"/>
        </w:rPr>
        <w:t>монографии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, </w:t>
      </w:r>
      <w:r w:rsidRPr="00F22657">
        <w:rPr>
          <w:rFonts w:ascii="Arial" w:hAnsi="Arial" w:cs="Arial"/>
          <w:color w:val="606060"/>
          <w:sz w:val="18"/>
          <w:szCs w:val="18"/>
        </w:rPr>
        <w:t>сборники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):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Izvekov V. I., Serikhin N. A., Abramov A. I. Proektirovanie turbogeneratorov [Design of turbo-generators]. Moscow, MEI Publ., 2005, 440 p.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Интернет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-</w:t>
      </w:r>
      <w:r w:rsidRPr="00F22657">
        <w:rPr>
          <w:rFonts w:ascii="Arial" w:hAnsi="Arial" w:cs="Arial"/>
          <w:color w:val="606060"/>
          <w:sz w:val="18"/>
          <w:szCs w:val="18"/>
        </w:rPr>
        <w:t>ресурса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APA Style (2011). Available at: http://www.apastyle.org/apa-style-help.aspx (accessed 5 February 2011).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Pravila Tsitirovaniya Istochnikov (Rules for the Citing of Sources) Available at: http://www.scribd.com/doc/1034528/ (accessed 7 February 2011)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lastRenderedPageBreak/>
        <w:t>Описание диссертации или автореферата диссертации: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Semenov V. I. Matematicheskoe modelirovanie plazmy v sisteme kompaktnyi tor. Diss. dokt. fiz.-mat. nauk [Mathematical modeling of the plasma in the compact torus. Dr. phys. and math. sci. diss.]. Moscow, 2003. 272 p.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ГОСТа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>GOST 8.586.5–2005. Metodika vypolneniia izmerenii. Izmerenie raskhoda i kolichestva zhidkostei i gazov s pomoshch'iu standartnykh suzhaiushchikh ustroistv [State Standard 8.586.5–2005. Method of measurement. Measurement of flow rate and volume of liquids and gases by means of orifice devices]. Moscow, Standartinform Publ., 2007. 10 p.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  <w:lang w:val="en-US"/>
        </w:rPr>
      </w:pPr>
      <w:r w:rsidRPr="00F22657">
        <w:rPr>
          <w:rFonts w:ascii="Arial" w:hAnsi="Arial" w:cs="Arial"/>
          <w:color w:val="606060"/>
          <w:sz w:val="18"/>
          <w:szCs w:val="18"/>
        </w:rPr>
        <w:t>Описание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 </w:t>
      </w:r>
      <w:r w:rsidRPr="00F22657">
        <w:rPr>
          <w:rFonts w:ascii="Arial" w:hAnsi="Arial" w:cs="Arial"/>
          <w:color w:val="606060"/>
          <w:sz w:val="18"/>
          <w:szCs w:val="18"/>
        </w:rPr>
        <w:t>патента</w:t>
      </w:r>
      <w:r w:rsidRPr="00F22657">
        <w:rPr>
          <w:rFonts w:ascii="Arial" w:hAnsi="Arial" w:cs="Arial"/>
          <w:color w:val="606060"/>
          <w:sz w:val="18"/>
          <w:szCs w:val="18"/>
          <w:lang w:val="en-US"/>
        </w:rPr>
        <w:t>: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  <w:lang w:val="en-US"/>
        </w:rPr>
        <w:t xml:space="preserve">Palkin M. V., e.a. Sposob orientirovaniia po krenu letatel'nogo apparata s opticheskoi golovkoi samonavedeniia [The way to orient on the roll of aircraft with optical homing head]. </w:t>
      </w:r>
      <w:r w:rsidRPr="00F22657">
        <w:rPr>
          <w:rFonts w:ascii="Arial" w:hAnsi="Arial" w:cs="Arial"/>
          <w:color w:val="606060"/>
          <w:sz w:val="18"/>
          <w:szCs w:val="18"/>
        </w:rPr>
        <w:t>Patent RF, no. 2280590, 2006.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7. Если присутствует информация о финансировании (поддержке грантами проектов и т. п.), ее следует давать </w:t>
      </w:r>
      <w:r w:rsidR="00E46B17">
        <w:rPr>
          <w:rFonts w:ascii="Arial" w:hAnsi="Arial" w:cs="Arial"/>
          <w:color w:val="606060"/>
          <w:sz w:val="18"/>
          <w:szCs w:val="18"/>
        </w:rPr>
        <w:t>в конце заключения.</w:t>
      </w:r>
    </w:p>
    <w:p w:rsidR="00FC5600" w:rsidRPr="00F22657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>V.. Собственным редактором формул версий Microsoft Office 2007 и выше пользоваться нельзя, так как в редакционно-издательском процессе он не поддерживается. Вставку символов выполнять через меню «Вставка\Символ». Выключку вверх и вниз (С2, С4) выполнять через меню «Формат\Шрифт\Верхний индекс», «Формат\Шрифт\Нижний индекс». Латинские буквы необходимо набирать курсивом, греческие – прямо (для набора греческих символов следует пользоваться гарнитурой Symbol). Обозначения математических функций (lim, sup, In, sin, Re, Im и т. п.), символы химических элементов (N, C1) также набираются прямым шрифтом.</w:t>
      </w:r>
    </w:p>
    <w:p w:rsidR="00FC5600" w:rsidRDefault="00FC5600" w:rsidP="00FC5600">
      <w:pPr>
        <w:rPr>
          <w:rFonts w:ascii="Arial" w:hAnsi="Arial" w:cs="Arial"/>
          <w:color w:val="606060"/>
          <w:sz w:val="18"/>
          <w:szCs w:val="18"/>
        </w:rPr>
      </w:pPr>
      <w:r w:rsidRPr="00F22657">
        <w:rPr>
          <w:rFonts w:ascii="Arial" w:hAnsi="Arial" w:cs="Arial"/>
          <w:color w:val="606060"/>
          <w:sz w:val="18"/>
          <w:szCs w:val="18"/>
        </w:rPr>
        <w:t xml:space="preserve">VI. Черно-белые и цветные рисунки вставляются в текст статьи (Word), а также даются в виде отдельных файлов в формате tif (600 точек на дюйм). Текст на рисунках набирается основной гарнитурой, причем начертание символов (греческое, латинское) должно соответствовать их начертанию в тексте. Размер кегля соизмерим с размером рисунка (желательно 8 пунктов). </w:t>
      </w:r>
    </w:p>
    <w:p w:rsidR="00BE21CB" w:rsidRPr="005B7484" w:rsidRDefault="00BE21CB" w:rsidP="00BE21CB">
      <w:pPr>
        <w:spacing w:after="0"/>
        <w:ind w:firstLine="567"/>
        <w:rPr>
          <w:rFonts w:eastAsia="Calibri"/>
          <w:color w:val="000000"/>
          <w:sz w:val="24"/>
          <w:szCs w:val="24"/>
          <w:u w:val="single"/>
        </w:rPr>
      </w:pPr>
    </w:p>
    <w:p w:rsidR="00AB33D3" w:rsidRDefault="00AB33D3"/>
    <w:sectPr w:rsidR="00AB33D3" w:rsidSect="00F67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17" w:rsidRDefault="00066117" w:rsidP="00F67125">
      <w:pPr>
        <w:spacing w:after="0"/>
      </w:pPr>
      <w:r>
        <w:separator/>
      </w:r>
    </w:p>
  </w:endnote>
  <w:endnote w:type="continuationSeparator" w:id="0">
    <w:p w:rsidR="00066117" w:rsidRDefault="00066117" w:rsidP="00F671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17" w:rsidRDefault="00066117" w:rsidP="00F67125">
      <w:pPr>
        <w:spacing w:after="0"/>
      </w:pPr>
      <w:r>
        <w:separator/>
      </w:r>
    </w:p>
  </w:footnote>
  <w:footnote w:type="continuationSeparator" w:id="0">
    <w:p w:rsidR="00066117" w:rsidRDefault="00066117" w:rsidP="00F671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B" w:rsidRDefault="00BE21CB" w:rsidP="00F67125">
    <w:r>
      <w:rPr>
        <w:rFonts w:ascii="Arial" w:hAnsi="Arial" w:cs="Arial"/>
      </w:rPr>
      <w:t>Приложение 1. Шаблон оформления тезисов для молодых ученых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B" w:rsidRDefault="00BE21CB" w:rsidP="00F67125">
    <w:r>
      <w:rPr>
        <w:rFonts w:ascii="Arial" w:hAnsi="Arial" w:cs="Arial"/>
      </w:rPr>
      <w:t xml:space="preserve">Приложение 2. </w:t>
    </w:r>
    <w:r w:rsidR="00FC5600">
      <w:rPr>
        <w:rFonts w:ascii="Arial" w:hAnsi="Arial" w:cs="Arial"/>
      </w:rPr>
      <w:t>Шаблон оформления тезисов для учащихся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125"/>
    <w:rsid w:val="00066117"/>
    <w:rsid w:val="0009631B"/>
    <w:rsid w:val="00197F61"/>
    <w:rsid w:val="001C271F"/>
    <w:rsid w:val="00241C7C"/>
    <w:rsid w:val="00754E28"/>
    <w:rsid w:val="008B32BE"/>
    <w:rsid w:val="009A45B4"/>
    <w:rsid w:val="00AB33D3"/>
    <w:rsid w:val="00AB3796"/>
    <w:rsid w:val="00B91E4A"/>
    <w:rsid w:val="00BE21CB"/>
    <w:rsid w:val="00C340E1"/>
    <w:rsid w:val="00C9563B"/>
    <w:rsid w:val="00CA1B0B"/>
    <w:rsid w:val="00E46B17"/>
    <w:rsid w:val="00F2208D"/>
    <w:rsid w:val="00F67125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25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71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125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79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utskavets.u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utskavets.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C4C5-6096-4F81-8EC8-4B5094BE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2019-04-18T11:55:00Z</dcterms:created>
  <dcterms:modified xsi:type="dcterms:W3CDTF">2020-04-01T07:20:00Z</dcterms:modified>
</cp:coreProperties>
</file>